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D86D3" w14:textId="2469F7D7" w:rsidR="007B575E" w:rsidRPr="003A3BEE" w:rsidRDefault="007B575E" w:rsidP="007B575E">
      <w:pPr>
        <w:spacing w:after="120" w:line="240" w:lineRule="auto"/>
        <w:rPr>
          <w:rFonts w:ascii="Arial" w:hAnsi="Arial" w:cs="Arial"/>
          <w:sz w:val="32"/>
          <w:szCs w:val="32"/>
        </w:rPr>
      </w:pPr>
      <w:bookmarkStart w:id="0" w:name="_GoBack"/>
      <w:bookmarkEnd w:id="0"/>
      <w:r w:rsidRPr="003A3BEE">
        <w:rPr>
          <w:rFonts w:ascii="Arial" w:hAnsi="Arial" w:cs="Arial"/>
          <w:sz w:val="32"/>
          <w:szCs w:val="32"/>
        </w:rPr>
        <w:t>March 2019</w:t>
      </w:r>
    </w:p>
    <w:p w14:paraId="7442C985" w14:textId="45A90AFD" w:rsidR="007B575E" w:rsidRPr="003A3BEE" w:rsidRDefault="007B575E" w:rsidP="007B575E">
      <w:pPr>
        <w:spacing w:after="0" w:line="300" w:lineRule="atLeast"/>
        <w:rPr>
          <w:rFonts w:ascii="Arial" w:hAnsi="Arial" w:cs="Arial"/>
        </w:rPr>
      </w:pPr>
      <w:r w:rsidRPr="003A3BEE">
        <w:rPr>
          <w:rFonts w:ascii="Arial" w:hAnsi="Arial" w:cs="Arial"/>
        </w:rPr>
        <w:t xml:space="preserve">This document reports on the working of the Interdisciplinary Research Advisory Panel (IDAP) in developing their guidance for inclusion of interdisciplinary research (IDR) in REF 2021. It is published alongside a summary of the guidance and criteria </w:t>
      </w:r>
      <w:r w:rsidR="00421FB8" w:rsidRPr="003A3BEE">
        <w:rPr>
          <w:rFonts w:ascii="Arial" w:hAnsi="Arial" w:cs="Arial"/>
        </w:rPr>
        <w:t>for IDR</w:t>
      </w:r>
      <w:r w:rsidRPr="003A3BEE">
        <w:rPr>
          <w:rFonts w:ascii="Arial" w:hAnsi="Arial" w:cs="Arial"/>
        </w:rPr>
        <w:t xml:space="preserve"> from the ‘Guidance on submissions’</w:t>
      </w:r>
      <w:r w:rsidR="000323C1" w:rsidRPr="003A3BEE">
        <w:rPr>
          <w:rFonts w:ascii="Arial" w:hAnsi="Arial" w:cs="Arial"/>
        </w:rPr>
        <w:t xml:space="preserve"> </w:t>
      </w:r>
      <w:r w:rsidR="00460895" w:rsidRPr="003A3BEE">
        <w:rPr>
          <w:rFonts w:ascii="Arial" w:hAnsi="Arial" w:cs="Arial"/>
        </w:rPr>
        <w:t xml:space="preserve">(REF 2019/01) </w:t>
      </w:r>
      <w:r w:rsidR="000323C1" w:rsidRPr="003A3BEE">
        <w:rPr>
          <w:rFonts w:ascii="Arial" w:hAnsi="Arial" w:cs="Arial"/>
        </w:rPr>
        <w:t>and the ‘</w:t>
      </w:r>
      <w:r w:rsidRPr="003A3BEE">
        <w:rPr>
          <w:rFonts w:ascii="Arial" w:hAnsi="Arial" w:cs="Arial"/>
        </w:rPr>
        <w:t>Pan</w:t>
      </w:r>
      <w:r w:rsidR="000323C1" w:rsidRPr="003A3BEE">
        <w:rPr>
          <w:rFonts w:ascii="Arial" w:hAnsi="Arial" w:cs="Arial"/>
        </w:rPr>
        <w:t>el criteria and working methods’</w:t>
      </w:r>
      <w:r w:rsidRPr="003A3BEE">
        <w:rPr>
          <w:rFonts w:ascii="Arial" w:hAnsi="Arial" w:cs="Arial"/>
        </w:rPr>
        <w:t xml:space="preserve"> </w:t>
      </w:r>
      <w:r w:rsidR="00460895" w:rsidRPr="003A3BEE">
        <w:rPr>
          <w:rFonts w:ascii="Arial" w:hAnsi="Arial" w:cs="Arial"/>
        </w:rPr>
        <w:t>(REF 2019/02)</w:t>
      </w:r>
      <w:r w:rsidRPr="003A3BEE">
        <w:rPr>
          <w:rFonts w:ascii="Arial" w:hAnsi="Arial" w:cs="Arial"/>
        </w:rPr>
        <w:t xml:space="preserve">. </w:t>
      </w:r>
    </w:p>
    <w:p w14:paraId="4139F8BC" w14:textId="77777777" w:rsidR="007B575E" w:rsidRPr="003A3BEE" w:rsidRDefault="007B575E" w:rsidP="007B575E">
      <w:pPr>
        <w:spacing w:after="0" w:line="300" w:lineRule="atLeast"/>
        <w:rPr>
          <w:rFonts w:ascii="Arial" w:hAnsi="Arial" w:cs="Arial"/>
        </w:rPr>
      </w:pPr>
    </w:p>
    <w:p w14:paraId="68082A1F" w14:textId="77777777" w:rsidR="007B575E" w:rsidRPr="003A3BEE" w:rsidRDefault="007B575E" w:rsidP="007B575E">
      <w:pPr>
        <w:spacing w:after="0" w:line="300" w:lineRule="atLeast"/>
        <w:rPr>
          <w:rFonts w:ascii="Arial" w:hAnsi="Arial" w:cs="Arial"/>
        </w:rPr>
      </w:pPr>
    </w:p>
    <w:p w14:paraId="1C44E1B2" w14:textId="77777777" w:rsidR="007B575E" w:rsidRPr="003A3BEE" w:rsidRDefault="007B575E" w:rsidP="007B575E">
      <w:pPr>
        <w:spacing w:after="0" w:line="300" w:lineRule="atLeast"/>
        <w:rPr>
          <w:rFonts w:ascii="Arial" w:hAnsi="Arial" w:cs="Arial"/>
        </w:rPr>
      </w:pPr>
    </w:p>
    <w:p w14:paraId="19933BDD" w14:textId="77777777" w:rsidR="007B575E" w:rsidRPr="003A3BEE" w:rsidRDefault="007B575E" w:rsidP="007B575E">
      <w:pPr>
        <w:spacing w:after="0" w:line="300" w:lineRule="atLeast"/>
        <w:rPr>
          <w:rFonts w:ascii="Arial" w:hAnsi="Arial" w:cs="Arial"/>
        </w:rPr>
      </w:pPr>
    </w:p>
    <w:p w14:paraId="406C4ABA" w14:textId="01177869" w:rsidR="007B575E" w:rsidRPr="003A3BEE" w:rsidRDefault="00277C14" w:rsidP="007B575E">
      <w:pPr>
        <w:spacing w:after="0" w:line="300" w:lineRule="atLeast"/>
        <w:rPr>
          <w:rFonts w:ascii="Arial" w:hAnsi="Arial" w:cs="Arial"/>
          <w:sz w:val="96"/>
          <w:szCs w:val="96"/>
        </w:rPr>
      </w:pPr>
      <w:r w:rsidRPr="003A3BEE">
        <w:rPr>
          <w:rFonts w:ascii="Arial" w:hAnsi="Arial" w:cs="Arial"/>
          <w:sz w:val="96"/>
          <w:szCs w:val="96"/>
        </w:rPr>
        <w:t>REF 2021</w:t>
      </w:r>
      <w:r w:rsidR="00C47BF9" w:rsidRPr="003A3BEE">
        <w:rPr>
          <w:rFonts w:ascii="Arial" w:hAnsi="Arial" w:cs="Arial"/>
          <w:sz w:val="96"/>
          <w:szCs w:val="96"/>
        </w:rPr>
        <w:t xml:space="preserve"> </w:t>
      </w:r>
      <w:r w:rsidR="007B575E" w:rsidRPr="003A3BEE">
        <w:rPr>
          <w:rFonts w:ascii="Arial" w:hAnsi="Arial" w:cs="Arial"/>
          <w:sz w:val="96"/>
          <w:szCs w:val="96"/>
        </w:rPr>
        <w:t xml:space="preserve">Interdisciplinary </w:t>
      </w:r>
      <w:r w:rsidR="000323C1" w:rsidRPr="003A3BEE">
        <w:rPr>
          <w:rFonts w:ascii="Arial" w:hAnsi="Arial" w:cs="Arial"/>
          <w:sz w:val="96"/>
          <w:szCs w:val="96"/>
        </w:rPr>
        <w:t xml:space="preserve">Research </w:t>
      </w:r>
      <w:r w:rsidR="00421FB8" w:rsidRPr="003A3BEE">
        <w:rPr>
          <w:rFonts w:ascii="Arial" w:hAnsi="Arial" w:cs="Arial"/>
          <w:sz w:val="96"/>
          <w:szCs w:val="96"/>
        </w:rPr>
        <w:t>Advisory</w:t>
      </w:r>
      <w:r w:rsidR="007B575E" w:rsidRPr="003A3BEE">
        <w:rPr>
          <w:rFonts w:ascii="Arial" w:hAnsi="Arial" w:cs="Arial"/>
          <w:sz w:val="96"/>
          <w:szCs w:val="96"/>
        </w:rPr>
        <w:t xml:space="preserve"> Panel: </w:t>
      </w:r>
      <w:r w:rsidR="000323C1" w:rsidRPr="003A3BEE">
        <w:rPr>
          <w:rFonts w:ascii="Arial" w:hAnsi="Arial" w:cs="Arial"/>
          <w:sz w:val="96"/>
          <w:szCs w:val="96"/>
        </w:rPr>
        <w:t>Review of the criteria</w:t>
      </w:r>
      <w:r w:rsidR="00460895" w:rsidRPr="003A3BEE">
        <w:rPr>
          <w:rFonts w:ascii="Arial" w:hAnsi="Arial" w:cs="Arial"/>
          <w:sz w:val="96"/>
          <w:szCs w:val="96"/>
        </w:rPr>
        <w:t>-</w:t>
      </w:r>
      <w:r w:rsidR="000323C1" w:rsidRPr="003A3BEE">
        <w:rPr>
          <w:rFonts w:ascii="Arial" w:hAnsi="Arial" w:cs="Arial"/>
          <w:sz w:val="96"/>
          <w:szCs w:val="96"/>
        </w:rPr>
        <w:t>setting phase</w:t>
      </w:r>
    </w:p>
    <w:p w14:paraId="157B9950" w14:textId="77777777" w:rsidR="007B575E" w:rsidRPr="00570383" w:rsidRDefault="007B575E" w:rsidP="007B575E">
      <w:pPr>
        <w:spacing w:after="0" w:line="300" w:lineRule="atLeast"/>
        <w:jc w:val="center"/>
        <w:rPr>
          <w:rFonts w:cs="Arial"/>
          <w:b/>
          <w:sz w:val="44"/>
          <w:szCs w:val="44"/>
        </w:rPr>
      </w:pPr>
    </w:p>
    <w:p w14:paraId="41B56070" w14:textId="77777777" w:rsidR="007B575E" w:rsidRPr="00570383" w:rsidRDefault="007B575E" w:rsidP="007B575E">
      <w:pPr>
        <w:spacing w:after="0" w:line="300" w:lineRule="atLeast"/>
        <w:rPr>
          <w:rFonts w:cs="Arial"/>
        </w:rPr>
      </w:pPr>
    </w:p>
    <w:p w14:paraId="25CDE017" w14:textId="7F164D95" w:rsidR="00091178" w:rsidRDefault="00091178">
      <w:pPr>
        <w:rPr>
          <w:rFonts w:cs="Arial"/>
        </w:rPr>
      </w:pPr>
      <w:r>
        <w:rPr>
          <w:rFonts w:cs="Arial"/>
        </w:rPr>
        <w:br w:type="page"/>
      </w:r>
    </w:p>
    <w:sdt>
      <w:sdtPr>
        <w:rPr>
          <w:rFonts w:ascii="Arial" w:eastAsiaTheme="minorEastAsia" w:hAnsi="Arial" w:cs="Arial"/>
          <w:b/>
          <w:noProof/>
          <w:color w:val="auto"/>
          <w:sz w:val="22"/>
          <w:szCs w:val="22"/>
        </w:rPr>
        <w:id w:val="-1741936426"/>
        <w:docPartObj>
          <w:docPartGallery w:val="Table of Contents"/>
          <w:docPartUnique/>
        </w:docPartObj>
      </w:sdtPr>
      <w:sdtEndPr>
        <w:rPr>
          <w:bCs/>
        </w:rPr>
      </w:sdtEndPr>
      <w:sdtContent>
        <w:p w14:paraId="3B9199EB" w14:textId="7B65C295" w:rsidR="00091178" w:rsidRPr="00091178" w:rsidRDefault="00091178">
          <w:pPr>
            <w:pStyle w:val="TOCHeading"/>
            <w:rPr>
              <w:rFonts w:ascii="Arial" w:hAnsi="Arial" w:cs="Arial"/>
              <w:color w:val="auto"/>
            </w:rPr>
          </w:pPr>
          <w:r w:rsidRPr="00091178">
            <w:rPr>
              <w:rFonts w:ascii="Arial" w:hAnsi="Arial" w:cs="Arial"/>
              <w:color w:val="auto"/>
            </w:rPr>
            <w:t>Contents</w:t>
          </w:r>
        </w:p>
        <w:p w14:paraId="194F588D" w14:textId="77777777" w:rsidR="00091178" w:rsidRDefault="00091178">
          <w:pPr>
            <w:pStyle w:val="TOC1"/>
            <w:rPr>
              <w:rFonts w:asciiTheme="minorHAnsi" w:hAnsiTheme="minorHAnsi" w:cstheme="minorBidi"/>
              <w:b w:val="0"/>
            </w:rPr>
          </w:pPr>
          <w:r>
            <w:fldChar w:fldCharType="begin"/>
          </w:r>
          <w:r>
            <w:instrText xml:space="preserve"> TOC \o "1-3" \h \z \u </w:instrText>
          </w:r>
          <w:r>
            <w:fldChar w:fldCharType="separate"/>
          </w:r>
          <w:hyperlink w:anchor="_Toc3200563" w:history="1">
            <w:r w:rsidRPr="000D1F4C">
              <w:rPr>
                <w:rStyle w:val="Hyperlink"/>
              </w:rPr>
              <w:t>Executive Summary</w:t>
            </w:r>
            <w:r>
              <w:rPr>
                <w:webHidden/>
              </w:rPr>
              <w:tab/>
            </w:r>
            <w:r>
              <w:rPr>
                <w:webHidden/>
              </w:rPr>
              <w:fldChar w:fldCharType="begin"/>
            </w:r>
            <w:r>
              <w:rPr>
                <w:webHidden/>
              </w:rPr>
              <w:instrText xml:space="preserve"> PAGEREF _Toc3200563 \h </w:instrText>
            </w:r>
            <w:r>
              <w:rPr>
                <w:webHidden/>
              </w:rPr>
            </w:r>
            <w:r>
              <w:rPr>
                <w:webHidden/>
              </w:rPr>
              <w:fldChar w:fldCharType="separate"/>
            </w:r>
            <w:r>
              <w:rPr>
                <w:webHidden/>
              </w:rPr>
              <w:t>4</w:t>
            </w:r>
            <w:r>
              <w:rPr>
                <w:webHidden/>
              </w:rPr>
              <w:fldChar w:fldCharType="end"/>
            </w:r>
          </w:hyperlink>
        </w:p>
        <w:p w14:paraId="1404D1CC" w14:textId="77777777" w:rsidR="00091178" w:rsidRPr="00091178" w:rsidRDefault="00314B4C">
          <w:pPr>
            <w:pStyle w:val="TOC2"/>
            <w:tabs>
              <w:tab w:val="right" w:leader="dot" w:pos="9350"/>
            </w:tabs>
            <w:rPr>
              <w:rFonts w:asciiTheme="minorHAnsi" w:hAnsiTheme="minorHAnsi"/>
              <w:noProof/>
              <w:sz w:val="22"/>
              <w:szCs w:val="22"/>
            </w:rPr>
          </w:pPr>
          <w:hyperlink w:anchor="_Toc3200564" w:history="1">
            <w:r w:rsidR="00091178" w:rsidRPr="00091178">
              <w:rPr>
                <w:rStyle w:val="Hyperlink"/>
                <w:rFonts w:cs="Arial"/>
                <w:noProof/>
              </w:rPr>
              <w:t>Key points</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_Toc3200564 \h </w:instrText>
            </w:r>
            <w:r w:rsidR="00091178" w:rsidRPr="00091178">
              <w:rPr>
                <w:noProof/>
                <w:webHidden/>
              </w:rPr>
            </w:r>
            <w:r w:rsidR="00091178" w:rsidRPr="00091178">
              <w:rPr>
                <w:noProof/>
                <w:webHidden/>
              </w:rPr>
              <w:fldChar w:fldCharType="separate"/>
            </w:r>
            <w:r w:rsidR="00091178" w:rsidRPr="00091178">
              <w:rPr>
                <w:noProof/>
                <w:webHidden/>
              </w:rPr>
              <w:t>4</w:t>
            </w:r>
            <w:r w:rsidR="00091178" w:rsidRPr="00091178">
              <w:rPr>
                <w:noProof/>
                <w:webHidden/>
              </w:rPr>
              <w:fldChar w:fldCharType="end"/>
            </w:r>
          </w:hyperlink>
        </w:p>
        <w:p w14:paraId="17F137E8" w14:textId="77777777" w:rsidR="00091178" w:rsidRPr="00091178" w:rsidRDefault="00314B4C">
          <w:pPr>
            <w:pStyle w:val="TOC2"/>
            <w:tabs>
              <w:tab w:val="right" w:leader="dot" w:pos="9350"/>
            </w:tabs>
            <w:rPr>
              <w:rFonts w:asciiTheme="minorHAnsi" w:hAnsiTheme="minorHAnsi"/>
              <w:noProof/>
              <w:sz w:val="22"/>
              <w:szCs w:val="22"/>
            </w:rPr>
          </w:pPr>
          <w:hyperlink w:anchor="_Toc3200565" w:history="1">
            <w:r w:rsidR="00091178" w:rsidRPr="00091178">
              <w:rPr>
                <w:rStyle w:val="Hyperlink"/>
                <w:rFonts w:cs="Arial"/>
                <w:noProof/>
              </w:rPr>
              <w:t>Summary of recommendations</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_Toc3200565 \h </w:instrText>
            </w:r>
            <w:r w:rsidR="00091178" w:rsidRPr="00091178">
              <w:rPr>
                <w:noProof/>
                <w:webHidden/>
              </w:rPr>
            </w:r>
            <w:r w:rsidR="00091178" w:rsidRPr="00091178">
              <w:rPr>
                <w:noProof/>
                <w:webHidden/>
              </w:rPr>
              <w:fldChar w:fldCharType="separate"/>
            </w:r>
            <w:r w:rsidR="00091178" w:rsidRPr="00091178">
              <w:rPr>
                <w:noProof/>
                <w:webHidden/>
              </w:rPr>
              <w:t>5</w:t>
            </w:r>
            <w:r w:rsidR="00091178" w:rsidRPr="00091178">
              <w:rPr>
                <w:noProof/>
                <w:webHidden/>
              </w:rPr>
              <w:fldChar w:fldCharType="end"/>
            </w:r>
          </w:hyperlink>
        </w:p>
        <w:p w14:paraId="1BFA8CFC" w14:textId="6431C31D" w:rsidR="00091178" w:rsidRDefault="00314B4C">
          <w:pPr>
            <w:pStyle w:val="TOC1"/>
            <w:rPr>
              <w:rFonts w:asciiTheme="minorHAnsi" w:hAnsiTheme="minorHAnsi" w:cstheme="minorBidi"/>
              <w:b w:val="0"/>
            </w:rPr>
          </w:pPr>
          <w:hyperlink w:anchor="_Toc3200566" w:history="1">
            <w:r w:rsidR="00277A57">
              <w:rPr>
                <w:rStyle w:val="Hyperlink"/>
              </w:rPr>
              <w:t>Foreword by</w:t>
            </w:r>
            <w:r w:rsidR="00091178" w:rsidRPr="000D1F4C">
              <w:rPr>
                <w:rStyle w:val="Hyperlink"/>
              </w:rPr>
              <w:t xml:space="preserve"> the panel chair</w:t>
            </w:r>
            <w:r w:rsidR="00091178">
              <w:rPr>
                <w:webHidden/>
              </w:rPr>
              <w:tab/>
            </w:r>
            <w:r w:rsidR="00091178">
              <w:rPr>
                <w:webHidden/>
              </w:rPr>
              <w:fldChar w:fldCharType="begin"/>
            </w:r>
            <w:r w:rsidR="00091178">
              <w:rPr>
                <w:webHidden/>
              </w:rPr>
              <w:instrText xml:space="preserve"> PAGEREF _Toc3200566 \h </w:instrText>
            </w:r>
            <w:r w:rsidR="00091178">
              <w:rPr>
                <w:webHidden/>
              </w:rPr>
            </w:r>
            <w:r w:rsidR="00091178">
              <w:rPr>
                <w:webHidden/>
              </w:rPr>
              <w:fldChar w:fldCharType="separate"/>
            </w:r>
            <w:r w:rsidR="00091178">
              <w:rPr>
                <w:webHidden/>
              </w:rPr>
              <w:t>7</w:t>
            </w:r>
            <w:r w:rsidR="00091178">
              <w:rPr>
                <w:webHidden/>
              </w:rPr>
              <w:fldChar w:fldCharType="end"/>
            </w:r>
          </w:hyperlink>
        </w:p>
        <w:p w14:paraId="75FF60E2" w14:textId="77777777" w:rsidR="00091178" w:rsidRDefault="00314B4C">
          <w:pPr>
            <w:pStyle w:val="TOC1"/>
            <w:rPr>
              <w:rFonts w:asciiTheme="minorHAnsi" w:hAnsiTheme="minorHAnsi" w:cstheme="minorBidi"/>
              <w:b w:val="0"/>
            </w:rPr>
          </w:pPr>
          <w:hyperlink w:anchor="_Toc3200567" w:history="1">
            <w:r w:rsidR="00091178" w:rsidRPr="000D1F4C">
              <w:rPr>
                <w:rStyle w:val="Hyperlink"/>
              </w:rPr>
              <w:t>Introduction</w:t>
            </w:r>
            <w:r w:rsidR="00091178">
              <w:rPr>
                <w:webHidden/>
              </w:rPr>
              <w:tab/>
            </w:r>
            <w:r w:rsidR="00091178">
              <w:rPr>
                <w:webHidden/>
              </w:rPr>
              <w:fldChar w:fldCharType="begin"/>
            </w:r>
            <w:r w:rsidR="00091178">
              <w:rPr>
                <w:webHidden/>
              </w:rPr>
              <w:instrText xml:space="preserve"> PAGEREF _Toc3200567 \h </w:instrText>
            </w:r>
            <w:r w:rsidR="00091178">
              <w:rPr>
                <w:webHidden/>
              </w:rPr>
            </w:r>
            <w:r w:rsidR="00091178">
              <w:rPr>
                <w:webHidden/>
              </w:rPr>
              <w:fldChar w:fldCharType="separate"/>
            </w:r>
            <w:r w:rsidR="00091178">
              <w:rPr>
                <w:webHidden/>
              </w:rPr>
              <w:t>8</w:t>
            </w:r>
            <w:r w:rsidR="00091178">
              <w:rPr>
                <w:webHidden/>
              </w:rPr>
              <w:fldChar w:fldCharType="end"/>
            </w:r>
          </w:hyperlink>
        </w:p>
        <w:p w14:paraId="6134A6ED" w14:textId="77777777" w:rsidR="00091178" w:rsidRDefault="00314B4C">
          <w:pPr>
            <w:pStyle w:val="TOC1"/>
            <w:rPr>
              <w:rFonts w:asciiTheme="minorHAnsi" w:hAnsiTheme="minorHAnsi" w:cstheme="minorBidi"/>
              <w:b w:val="0"/>
            </w:rPr>
          </w:pPr>
          <w:hyperlink w:anchor="_Toc3200568" w:history="1">
            <w:r w:rsidR="00091178" w:rsidRPr="000D1F4C">
              <w:rPr>
                <w:rStyle w:val="Hyperlink"/>
              </w:rPr>
              <w:t>Purpose of IDAP</w:t>
            </w:r>
            <w:r w:rsidR="00091178">
              <w:rPr>
                <w:webHidden/>
              </w:rPr>
              <w:tab/>
            </w:r>
            <w:r w:rsidR="00091178">
              <w:rPr>
                <w:webHidden/>
              </w:rPr>
              <w:fldChar w:fldCharType="begin"/>
            </w:r>
            <w:r w:rsidR="00091178">
              <w:rPr>
                <w:webHidden/>
              </w:rPr>
              <w:instrText xml:space="preserve"> PAGEREF _Toc3200568 \h </w:instrText>
            </w:r>
            <w:r w:rsidR="00091178">
              <w:rPr>
                <w:webHidden/>
              </w:rPr>
            </w:r>
            <w:r w:rsidR="00091178">
              <w:rPr>
                <w:webHidden/>
              </w:rPr>
              <w:fldChar w:fldCharType="separate"/>
            </w:r>
            <w:r w:rsidR="00091178">
              <w:rPr>
                <w:webHidden/>
              </w:rPr>
              <w:t>8</w:t>
            </w:r>
            <w:r w:rsidR="00091178">
              <w:rPr>
                <w:webHidden/>
              </w:rPr>
              <w:fldChar w:fldCharType="end"/>
            </w:r>
          </w:hyperlink>
        </w:p>
        <w:p w14:paraId="3BF4B06F" w14:textId="77777777" w:rsidR="00091178" w:rsidRDefault="00314B4C">
          <w:pPr>
            <w:pStyle w:val="TOC1"/>
            <w:rPr>
              <w:rFonts w:asciiTheme="minorHAnsi" w:hAnsiTheme="minorHAnsi" w:cstheme="minorBidi"/>
              <w:b w:val="0"/>
            </w:rPr>
          </w:pPr>
          <w:hyperlink w:anchor="_Toc3200569" w:history="1">
            <w:r w:rsidR="00091178" w:rsidRPr="000D1F4C">
              <w:rPr>
                <w:rStyle w:val="Hyperlink"/>
              </w:rPr>
              <w:t>Constitution of IDAP</w:t>
            </w:r>
            <w:r w:rsidR="00091178">
              <w:rPr>
                <w:webHidden/>
              </w:rPr>
              <w:tab/>
            </w:r>
            <w:r w:rsidR="00091178">
              <w:rPr>
                <w:webHidden/>
              </w:rPr>
              <w:fldChar w:fldCharType="begin"/>
            </w:r>
            <w:r w:rsidR="00091178">
              <w:rPr>
                <w:webHidden/>
              </w:rPr>
              <w:instrText xml:space="preserve"> PAGEREF _Toc3200569 \h </w:instrText>
            </w:r>
            <w:r w:rsidR="00091178">
              <w:rPr>
                <w:webHidden/>
              </w:rPr>
            </w:r>
            <w:r w:rsidR="00091178">
              <w:rPr>
                <w:webHidden/>
              </w:rPr>
              <w:fldChar w:fldCharType="separate"/>
            </w:r>
            <w:r w:rsidR="00091178">
              <w:rPr>
                <w:webHidden/>
              </w:rPr>
              <w:t>9</w:t>
            </w:r>
            <w:r w:rsidR="00091178">
              <w:rPr>
                <w:webHidden/>
              </w:rPr>
              <w:fldChar w:fldCharType="end"/>
            </w:r>
          </w:hyperlink>
        </w:p>
        <w:p w14:paraId="3521601A" w14:textId="77777777" w:rsidR="00091178" w:rsidRDefault="00314B4C">
          <w:pPr>
            <w:pStyle w:val="TOC1"/>
            <w:rPr>
              <w:rFonts w:asciiTheme="minorHAnsi" w:hAnsiTheme="minorHAnsi" w:cstheme="minorBidi"/>
              <w:b w:val="0"/>
            </w:rPr>
          </w:pPr>
          <w:hyperlink w:anchor="_Toc3200570" w:history="1">
            <w:r w:rsidR="00091178" w:rsidRPr="000D1F4C">
              <w:rPr>
                <w:rStyle w:val="Hyperlink"/>
              </w:rPr>
              <w:t>IDAP’s working methods</w:t>
            </w:r>
            <w:r w:rsidR="00091178">
              <w:rPr>
                <w:webHidden/>
              </w:rPr>
              <w:tab/>
            </w:r>
            <w:r w:rsidR="00091178">
              <w:rPr>
                <w:webHidden/>
              </w:rPr>
              <w:fldChar w:fldCharType="begin"/>
            </w:r>
            <w:r w:rsidR="00091178">
              <w:rPr>
                <w:webHidden/>
              </w:rPr>
              <w:instrText xml:space="preserve"> PAGEREF _Toc3200570 \h </w:instrText>
            </w:r>
            <w:r w:rsidR="00091178">
              <w:rPr>
                <w:webHidden/>
              </w:rPr>
            </w:r>
            <w:r w:rsidR="00091178">
              <w:rPr>
                <w:webHidden/>
              </w:rPr>
              <w:fldChar w:fldCharType="separate"/>
            </w:r>
            <w:r w:rsidR="00091178">
              <w:rPr>
                <w:webHidden/>
              </w:rPr>
              <w:t>9</w:t>
            </w:r>
            <w:r w:rsidR="00091178">
              <w:rPr>
                <w:webHidden/>
              </w:rPr>
              <w:fldChar w:fldCharType="end"/>
            </w:r>
          </w:hyperlink>
        </w:p>
        <w:p w14:paraId="5C708DC0" w14:textId="77777777" w:rsidR="00091178" w:rsidRDefault="00314B4C">
          <w:pPr>
            <w:pStyle w:val="TOC1"/>
            <w:rPr>
              <w:rFonts w:asciiTheme="minorHAnsi" w:hAnsiTheme="minorHAnsi" w:cstheme="minorBidi"/>
              <w:b w:val="0"/>
            </w:rPr>
          </w:pPr>
          <w:hyperlink w:anchor="_Toc3200571" w:history="1">
            <w:r w:rsidR="00091178" w:rsidRPr="000D1F4C">
              <w:rPr>
                <w:rStyle w:val="Hyperlink"/>
              </w:rPr>
              <w:t>Part 1: Background</w:t>
            </w:r>
            <w:r w:rsidR="00091178">
              <w:rPr>
                <w:webHidden/>
              </w:rPr>
              <w:tab/>
            </w:r>
            <w:r w:rsidR="00091178">
              <w:rPr>
                <w:webHidden/>
              </w:rPr>
              <w:fldChar w:fldCharType="begin"/>
            </w:r>
            <w:r w:rsidR="00091178">
              <w:rPr>
                <w:webHidden/>
              </w:rPr>
              <w:instrText xml:space="preserve"> PAGEREF _Toc3200571 \h </w:instrText>
            </w:r>
            <w:r w:rsidR="00091178">
              <w:rPr>
                <w:webHidden/>
              </w:rPr>
            </w:r>
            <w:r w:rsidR="00091178">
              <w:rPr>
                <w:webHidden/>
              </w:rPr>
              <w:fldChar w:fldCharType="separate"/>
            </w:r>
            <w:r w:rsidR="00091178">
              <w:rPr>
                <w:webHidden/>
              </w:rPr>
              <w:t>10</w:t>
            </w:r>
            <w:r w:rsidR="00091178">
              <w:rPr>
                <w:webHidden/>
              </w:rPr>
              <w:fldChar w:fldCharType="end"/>
            </w:r>
          </w:hyperlink>
        </w:p>
        <w:p w14:paraId="64FAE374" w14:textId="77777777" w:rsidR="00091178" w:rsidRDefault="00314B4C">
          <w:pPr>
            <w:pStyle w:val="TOC1"/>
            <w:rPr>
              <w:rFonts w:asciiTheme="minorHAnsi" w:hAnsiTheme="minorHAnsi" w:cstheme="minorBidi"/>
              <w:b w:val="0"/>
            </w:rPr>
          </w:pPr>
          <w:hyperlink w:anchor="_Toc3200572" w:history="1">
            <w:r w:rsidR="00091178" w:rsidRPr="000D1F4C">
              <w:rPr>
                <w:rStyle w:val="Hyperlink"/>
              </w:rPr>
              <w:t>Part 2: IDAP’s advice</w:t>
            </w:r>
            <w:r w:rsidR="00091178">
              <w:rPr>
                <w:webHidden/>
              </w:rPr>
              <w:tab/>
            </w:r>
            <w:r w:rsidR="00091178">
              <w:rPr>
                <w:webHidden/>
              </w:rPr>
              <w:fldChar w:fldCharType="begin"/>
            </w:r>
            <w:r w:rsidR="00091178">
              <w:rPr>
                <w:webHidden/>
              </w:rPr>
              <w:instrText xml:space="preserve"> PAGEREF _Toc3200572 \h </w:instrText>
            </w:r>
            <w:r w:rsidR="00091178">
              <w:rPr>
                <w:webHidden/>
              </w:rPr>
            </w:r>
            <w:r w:rsidR="00091178">
              <w:rPr>
                <w:webHidden/>
              </w:rPr>
              <w:fldChar w:fldCharType="separate"/>
            </w:r>
            <w:r w:rsidR="00091178">
              <w:rPr>
                <w:webHidden/>
              </w:rPr>
              <w:t>11</w:t>
            </w:r>
            <w:r w:rsidR="00091178">
              <w:rPr>
                <w:webHidden/>
              </w:rPr>
              <w:fldChar w:fldCharType="end"/>
            </w:r>
          </w:hyperlink>
        </w:p>
        <w:p w14:paraId="07F4B7C7" w14:textId="77777777" w:rsidR="00091178" w:rsidRPr="00091178" w:rsidRDefault="00314B4C">
          <w:pPr>
            <w:pStyle w:val="TOC2"/>
            <w:tabs>
              <w:tab w:val="right" w:leader="dot" w:pos="9350"/>
            </w:tabs>
            <w:rPr>
              <w:rFonts w:asciiTheme="minorHAnsi" w:hAnsiTheme="minorHAnsi"/>
              <w:noProof/>
              <w:sz w:val="22"/>
              <w:szCs w:val="22"/>
            </w:rPr>
          </w:pPr>
          <w:hyperlink w:anchor="_Toc3200573" w:history="1">
            <w:r w:rsidR="00091178" w:rsidRPr="00091178">
              <w:rPr>
                <w:rStyle w:val="Hyperlink"/>
                <w:rFonts w:eastAsia="Times New Roman" w:cs="Arial"/>
                <w:noProof/>
                <w:lang w:eastAsia="en-GB"/>
              </w:rPr>
              <w:t>Initial decisions</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_Toc3200573 \h </w:instrText>
            </w:r>
            <w:r w:rsidR="00091178" w:rsidRPr="00091178">
              <w:rPr>
                <w:noProof/>
                <w:webHidden/>
              </w:rPr>
            </w:r>
            <w:r w:rsidR="00091178" w:rsidRPr="00091178">
              <w:rPr>
                <w:noProof/>
                <w:webHidden/>
              </w:rPr>
              <w:fldChar w:fldCharType="separate"/>
            </w:r>
            <w:r w:rsidR="00091178" w:rsidRPr="00091178">
              <w:rPr>
                <w:noProof/>
                <w:webHidden/>
              </w:rPr>
              <w:t>11</w:t>
            </w:r>
            <w:r w:rsidR="00091178" w:rsidRPr="00091178">
              <w:rPr>
                <w:noProof/>
                <w:webHidden/>
              </w:rPr>
              <w:fldChar w:fldCharType="end"/>
            </w:r>
          </w:hyperlink>
        </w:p>
        <w:p w14:paraId="523B1094" w14:textId="77777777" w:rsidR="00091178" w:rsidRPr="00091178" w:rsidRDefault="00314B4C">
          <w:pPr>
            <w:pStyle w:val="TOC2"/>
            <w:tabs>
              <w:tab w:val="right" w:leader="dot" w:pos="9350"/>
            </w:tabs>
            <w:rPr>
              <w:rFonts w:asciiTheme="minorHAnsi" w:hAnsiTheme="minorHAnsi"/>
              <w:noProof/>
              <w:sz w:val="22"/>
              <w:szCs w:val="22"/>
            </w:rPr>
          </w:pPr>
          <w:hyperlink w:anchor="_Toc3200574" w:history="1">
            <w:r w:rsidR="00091178" w:rsidRPr="00091178">
              <w:rPr>
                <w:rStyle w:val="Hyperlink"/>
                <w:rFonts w:eastAsia="Times New Roman" w:cs="Arial"/>
                <w:noProof/>
                <w:lang w:eastAsia="en-GB"/>
              </w:rPr>
              <w:t>IDR identifier and definition:</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_Toc3200574 \h </w:instrText>
            </w:r>
            <w:r w:rsidR="00091178" w:rsidRPr="00091178">
              <w:rPr>
                <w:noProof/>
                <w:webHidden/>
              </w:rPr>
            </w:r>
            <w:r w:rsidR="00091178" w:rsidRPr="00091178">
              <w:rPr>
                <w:noProof/>
                <w:webHidden/>
              </w:rPr>
              <w:fldChar w:fldCharType="separate"/>
            </w:r>
            <w:r w:rsidR="00091178" w:rsidRPr="00091178">
              <w:rPr>
                <w:noProof/>
                <w:webHidden/>
              </w:rPr>
              <w:t>12</w:t>
            </w:r>
            <w:r w:rsidR="00091178" w:rsidRPr="00091178">
              <w:rPr>
                <w:noProof/>
                <w:webHidden/>
              </w:rPr>
              <w:fldChar w:fldCharType="end"/>
            </w:r>
          </w:hyperlink>
        </w:p>
        <w:p w14:paraId="3EF7DBF3" w14:textId="77777777" w:rsidR="00091178" w:rsidRPr="00091178" w:rsidRDefault="00314B4C">
          <w:pPr>
            <w:pStyle w:val="TOC3"/>
            <w:tabs>
              <w:tab w:val="right" w:leader="dot" w:pos="9350"/>
            </w:tabs>
            <w:rPr>
              <w:rFonts w:asciiTheme="minorHAnsi" w:hAnsiTheme="minorHAnsi"/>
              <w:noProof/>
              <w:sz w:val="22"/>
              <w:szCs w:val="22"/>
            </w:rPr>
          </w:pPr>
          <w:hyperlink w:anchor="_Toc3200575" w:history="1">
            <w:r w:rsidR="00091178" w:rsidRPr="00091178">
              <w:rPr>
                <w:rStyle w:val="Hyperlink"/>
                <w:rFonts w:cs="Arial"/>
                <w:noProof/>
              </w:rPr>
              <w:t>IDR identifier:</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_Toc3200575 \h </w:instrText>
            </w:r>
            <w:r w:rsidR="00091178" w:rsidRPr="00091178">
              <w:rPr>
                <w:noProof/>
                <w:webHidden/>
              </w:rPr>
            </w:r>
            <w:r w:rsidR="00091178" w:rsidRPr="00091178">
              <w:rPr>
                <w:noProof/>
                <w:webHidden/>
              </w:rPr>
              <w:fldChar w:fldCharType="separate"/>
            </w:r>
            <w:r w:rsidR="00091178" w:rsidRPr="00091178">
              <w:rPr>
                <w:noProof/>
                <w:webHidden/>
              </w:rPr>
              <w:t>12</w:t>
            </w:r>
            <w:r w:rsidR="00091178" w:rsidRPr="00091178">
              <w:rPr>
                <w:noProof/>
                <w:webHidden/>
              </w:rPr>
              <w:fldChar w:fldCharType="end"/>
            </w:r>
          </w:hyperlink>
        </w:p>
        <w:p w14:paraId="45BDDF7B" w14:textId="77777777" w:rsidR="00091178" w:rsidRPr="00091178" w:rsidRDefault="00314B4C">
          <w:pPr>
            <w:pStyle w:val="TOC3"/>
            <w:tabs>
              <w:tab w:val="right" w:leader="dot" w:pos="9350"/>
            </w:tabs>
            <w:rPr>
              <w:rFonts w:asciiTheme="minorHAnsi" w:hAnsiTheme="minorHAnsi"/>
              <w:noProof/>
              <w:sz w:val="22"/>
              <w:szCs w:val="22"/>
            </w:rPr>
          </w:pPr>
          <w:hyperlink w:anchor="_Toc3200576" w:history="1">
            <w:r w:rsidR="00091178" w:rsidRPr="00091178">
              <w:rPr>
                <w:rStyle w:val="Hyperlink"/>
                <w:rFonts w:eastAsia="Times New Roman" w:cs="Arial"/>
                <w:noProof/>
                <w:lang w:val="en-GB" w:eastAsia="en-GB"/>
              </w:rPr>
              <w:t>Definition:</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_Toc3200576 \h </w:instrText>
            </w:r>
            <w:r w:rsidR="00091178" w:rsidRPr="00091178">
              <w:rPr>
                <w:noProof/>
                <w:webHidden/>
              </w:rPr>
            </w:r>
            <w:r w:rsidR="00091178" w:rsidRPr="00091178">
              <w:rPr>
                <w:noProof/>
                <w:webHidden/>
              </w:rPr>
              <w:fldChar w:fldCharType="separate"/>
            </w:r>
            <w:r w:rsidR="00091178" w:rsidRPr="00091178">
              <w:rPr>
                <w:noProof/>
                <w:webHidden/>
              </w:rPr>
              <w:t>12</w:t>
            </w:r>
            <w:r w:rsidR="00091178" w:rsidRPr="00091178">
              <w:rPr>
                <w:noProof/>
                <w:webHidden/>
              </w:rPr>
              <w:fldChar w:fldCharType="end"/>
            </w:r>
          </w:hyperlink>
        </w:p>
        <w:p w14:paraId="2033423C" w14:textId="77777777" w:rsidR="00091178" w:rsidRPr="00091178" w:rsidRDefault="00314B4C">
          <w:pPr>
            <w:pStyle w:val="TOC2"/>
            <w:tabs>
              <w:tab w:val="right" w:leader="dot" w:pos="9350"/>
            </w:tabs>
            <w:rPr>
              <w:rFonts w:asciiTheme="minorHAnsi" w:hAnsiTheme="minorHAnsi"/>
              <w:noProof/>
              <w:sz w:val="22"/>
              <w:szCs w:val="22"/>
            </w:rPr>
          </w:pPr>
          <w:hyperlink w:anchor="_Toc3200577" w:history="1">
            <w:r w:rsidR="00091178" w:rsidRPr="00091178">
              <w:rPr>
                <w:rStyle w:val="Hyperlink"/>
                <w:rFonts w:eastAsia="Times New Roman" w:cs="Arial"/>
                <w:noProof/>
                <w:lang w:eastAsia="en-GB"/>
              </w:rPr>
              <w:t>Appointment of IDR panel members</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_Toc3200577 \h </w:instrText>
            </w:r>
            <w:r w:rsidR="00091178" w:rsidRPr="00091178">
              <w:rPr>
                <w:noProof/>
                <w:webHidden/>
              </w:rPr>
            </w:r>
            <w:r w:rsidR="00091178" w:rsidRPr="00091178">
              <w:rPr>
                <w:noProof/>
                <w:webHidden/>
              </w:rPr>
              <w:fldChar w:fldCharType="separate"/>
            </w:r>
            <w:r w:rsidR="00091178" w:rsidRPr="00091178">
              <w:rPr>
                <w:noProof/>
                <w:webHidden/>
              </w:rPr>
              <w:t>14</w:t>
            </w:r>
            <w:r w:rsidR="00091178" w:rsidRPr="00091178">
              <w:rPr>
                <w:noProof/>
                <w:webHidden/>
              </w:rPr>
              <w:fldChar w:fldCharType="end"/>
            </w:r>
          </w:hyperlink>
        </w:p>
        <w:p w14:paraId="6980B563" w14:textId="77777777" w:rsidR="00091178" w:rsidRPr="00091178" w:rsidRDefault="00314B4C">
          <w:pPr>
            <w:pStyle w:val="TOC2"/>
            <w:tabs>
              <w:tab w:val="right" w:leader="dot" w:pos="9350"/>
            </w:tabs>
            <w:rPr>
              <w:rFonts w:asciiTheme="minorHAnsi" w:hAnsiTheme="minorHAnsi"/>
              <w:noProof/>
              <w:sz w:val="22"/>
              <w:szCs w:val="22"/>
            </w:rPr>
          </w:pPr>
          <w:hyperlink w:anchor="_Toc3200578" w:history="1">
            <w:r w:rsidR="00091178" w:rsidRPr="00091178">
              <w:rPr>
                <w:rStyle w:val="Hyperlink"/>
                <w:rFonts w:eastAsia="Times New Roman" w:cs="Arial"/>
                <w:noProof/>
                <w:lang w:eastAsia="en-GB"/>
              </w:rPr>
              <w:t>Role of the IDR adviser</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_Toc3200578 \h </w:instrText>
            </w:r>
            <w:r w:rsidR="00091178" w:rsidRPr="00091178">
              <w:rPr>
                <w:noProof/>
                <w:webHidden/>
              </w:rPr>
            </w:r>
            <w:r w:rsidR="00091178" w:rsidRPr="00091178">
              <w:rPr>
                <w:noProof/>
                <w:webHidden/>
              </w:rPr>
              <w:fldChar w:fldCharType="separate"/>
            </w:r>
            <w:r w:rsidR="00091178" w:rsidRPr="00091178">
              <w:rPr>
                <w:noProof/>
                <w:webHidden/>
              </w:rPr>
              <w:t>15</w:t>
            </w:r>
            <w:r w:rsidR="00091178" w:rsidRPr="00091178">
              <w:rPr>
                <w:noProof/>
                <w:webHidden/>
              </w:rPr>
              <w:fldChar w:fldCharType="end"/>
            </w:r>
          </w:hyperlink>
        </w:p>
        <w:p w14:paraId="09BB7CA5" w14:textId="77777777" w:rsidR="00091178" w:rsidRPr="00091178" w:rsidRDefault="00314B4C">
          <w:pPr>
            <w:pStyle w:val="TOC2"/>
            <w:tabs>
              <w:tab w:val="right" w:leader="dot" w:pos="9350"/>
            </w:tabs>
            <w:rPr>
              <w:rFonts w:asciiTheme="minorHAnsi" w:hAnsiTheme="minorHAnsi"/>
              <w:noProof/>
              <w:sz w:val="22"/>
              <w:szCs w:val="22"/>
            </w:rPr>
          </w:pPr>
          <w:hyperlink w:anchor="_Toc3200579" w:history="1">
            <w:r w:rsidR="00091178" w:rsidRPr="00091178">
              <w:rPr>
                <w:rStyle w:val="Hyperlink"/>
                <w:rFonts w:eastAsia="Times New Roman" w:cs="Arial"/>
                <w:noProof/>
                <w:lang w:eastAsia="en-GB"/>
              </w:rPr>
              <w:t>Advice on the assessment criteria</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_Toc3200579 \h </w:instrText>
            </w:r>
            <w:r w:rsidR="00091178" w:rsidRPr="00091178">
              <w:rPr>
                <w:noProof/>
                <w:webHidden/>
              </w:rPr>
            </w:r>
            <w:r w:rsidR="00091178" w:rsidRPr="00091178">
              <w:rPr>
                <w:noProof/>
                <w:webHidden/>
              </w:rPr>
              <w:fldChar w:fldCharType="separate"/>
            </w:r>
            <w:r w:rsidR="00091178" w:rsidRPr="00091178">
              <w:rPr>
                <w:noProof/>
                <w:webHidden/>
              </w:rPr>
              <w:t>16</w:t>
            </w:r>
            <w:r w:rsidR="00091178" w:rsidRPr="00091178">
              <w:rPr>
                <w:noProof/>
                <w:webHidden/>
              </w:rPr>
              <w:fldChar w:fldCharType="end"/>
            </w:r>
          </w:hyperlink>
        </w:p>
        <w:p w14:paraId="78A98C12" w14:textId="77777777" w:rsidR="00091178" w:rsidRPr="00091178" w:rsidRDefault="00314B4C">
          <w:pPr>
            <w:pStyle w:val="TOC2"/>
            <w:tabs>
              <w:tab w:val="right" w:leader="dot" w:pos="9350"/>
            </w:tabs>
            <w:rPr>
              <w:rFonts w:asciiTheme="minorHAnsi" w:hAnsiTheme="minorHAnsi"/>
              <w:noProof/>
              <w:sz w:val="22"/>
              <w:szCs w:val="22"/>
            </w:rPr>
          </w:pPr>
          <w:hyperlink w:anchor="_Toc3200580" w:history="1">
            <w:r w:rsidR="00091178" w:rsidRPr="00091178">
              <w:rPr>
                <w:rStyle w:val="Hyperlink"/>
                <w:rFonts w:eastAsia="Times New Roman" w:cs="Arial"/>
                <w:noProof/>
                <w:lang w:eastAsia="en-GB"/>
              </w:rPr>
              <w:t>IDAP members’ reflections:</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_Toc3200580 \h </w:instrText>
            </w:r>
            <w:r w:rsidR="00091178" w:rsidRPr="00091178">
              <w:rPr>
                <w:noProof/>
                <w:webHidden/>
              </w:rPr>
            </w:r>
            <w:r w:rsidR="00091178" w:rsidRPr="00091178">
              <w:rPr>
                <w:noProof/>
                <w:webHidden/>
              </w:rPr>
              <w:fldChar w:fldCharType="separate"/>
            </w:r>
            <w:r w:rsidR="00091178" w:rsidRPr="00091178">
              <w:rPr>
                <w:noProof/>
                <w:webHidden/>
              </w:rPr>
              <w:t>18</w:t>
            </w:r>
            <w:r w:rsidR="00091178" w:rsidRPr="00091178">
              <w:rPr>
                <w:noProof/>
                <w:webHidden/>
              </w:rPr>
              <w:fldChar w:fldCharType="end"/>
            </w:r>
          </w:hyperlink>
        </w:p>
        <w:p w14:paraId="1B6F8F58" w14:textId="77777777" w:rsidR="00091178" w:rsidRPr="00091178" w:rsidRDefault="00314B4C">
          <w:pPr>
            <w:pStyle w:val="TOC2"/>
            <w:tabs>
              <w:tab w:val="right" w:leader="dot" w:pos="9350"/>
            </w:tabs>
            <w:rPr>
              <w:rFonts w:asciiTheme="minorHAnsi" w:hAnsiTheme="minorHAnsi"/>
              <w:noProof/>
              <w:sz w:val="22"/>
              <w:szCs w:val="22"/>
            </w:rPr>
          </w:pPr>
          <w:hyperlink w:anchor="_Toc3200581" w:history="1">
            <w:r w:rsidR="00091178" w:rsidRPr="00091178">
              <w:rPr>
                <w:rStyle w:val="Hyperlink"/>
                <w:rFonts w:eastAsia="Times New Roman" w:cs="Arial"/>
                <w:noProof/>
                <w:lang w:eastAsia="en-GB"/>
              </w:rPr>
              <w:t>IDR in environment submissions</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_Toc3200581 \h </w:instrText>
            </w:r>
            <w:r w:rsidR="00091178" w:rsidRPr="00091178">
              <w:rPr>
                <w:noProof/>
                <w:webHidden/>
              </w:rPr>
            </w:r>
            <w:r w:rsidR="00091178" w:rsidRPr="00091178">
              <w:rPr>
                <w:noProof/>
                <w:webHidden/>
              </w:rPr>
              <w:fldChar w:fldCharType="separate"/>
            </w:r>
            <w:r w:rsidR="00091178" w:rsidRPr="00091178">
              <w:rPr>
                <w:noProof/>
                <w:webHidden/>
              </w:rPr>
              <w:t>19</w:t>
            </w:r>
            <w:r w:rsidR="00091178" w:rsidRPr="00091178">
              <w:rPr>
                <w:noProof/>
                <w:webHidden/>
              </w:rPr>
              <w:fldChar w:fldCharType="end"/>
            </w:r>
          </w:hyperlink>
        </w:p>
        <w:p w14:paraId="21DADFBD" w14:textId="77777777" w:rsidR="00091178" w:rsidRPr="00091178" w:rsidRDefault="00314B4C">
          <w:pPr>
            <w:pStyle w:val="TOC2"/>
            <w:tabs>
              <w:tab w:val="right" w:leader="dot" w:pos="9350"/>
            </w:tabs>
            <w:rPr>
              <w:rFonts w:asciiTheme="minorHAnsi" w:hAnsiTheme="minorHAnsi"/>
              <w:noProof/>
              <w:sz w:val="22"/>
              <w:szCs w:val="22"/>
            </w:rPr>
          </w:pPr>
          <w:hyperlink w:anchor="_Toc3200582" w:history="1">
            <w:r w:rsidR="00091178" w:rsidRPr="00091178">
              <w:rPr>
                <w:rStyle w:val="Hyperlink"/>
                <w:rFonts w:eastAsia="Times New Roman" w:cs="Arial"/>
                <w:noProof/>
                <w:lang w:eastAsia="en-GB"/>
              </w:rPr>
              <w:t>Unit-level environment</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_Toc3200582 \h </w:instrText>
            </w:r>
            <w:r w:rsidR="00091178" w:rsidRPr="00091178">
              <w:rPr>
                <w:noProof/>
                <w:webHidden/>
              </w:rPr>
            </w:r>
            <w:r w:rsidR="00091178" w:rsidRPr="00091178">
              <w:rPr>
                <w:noProof/>
                <w:webHidden/>
              </w:rPr>
              <w:fldChar w:fldCharType="separate"/>
            </w:r>
            <w:r w:rsidR="00091178" w:rsidRPr="00091178">
              <w:rPr>
                <w:noProof/>
                <w:webHidden/>
              </w:rPr>
              <w:t>19</w:t>
            </w:r>
            <w:r w:rsidR="00091178" w:rsidRPr="00091178">
              <w:rPr>
                <w:noProof/>
                <w:webHidden/>
              </w:rPr>
              <w:fldChar w:fldCharType="end"/>
            </w:r>
          </w:hyperlink>
        </w:p>
        <w:p w14:paraId="64C6150C" w14:textId="77777777" w:rsidR="00091178" w:rsidRPr="00091178" w:rsidRDefault="00314B4C">
          <w:pPr>
            <w:pStyle w:val="TOC2"/>
            <w:tabs>
              <w:tab w:val="right" w:leader="dot" w:pos="9350"/>
            </w:tabs>
            <w:rPr>
              <w:rFonts w:asciiTheme="minorHAnsi" w:hAnsiTheme="minorHAnsi"/>
              <w:noProof/>
              <w:sz w:val="22"/>
              <w:szCs w:val="22"/>
            </w:rPr>
          </w:pPr>
          <w:hyperlink w:anchor="_Toc3200583" w:history="1">
            <w:r w:rsidR="00091178" w:rsidRPr="00091178">
              <w:rPr>
                <w:rStyle w:val="Hyperlink"/>
                <w:rFonts w:eastAsia="Times New Roman" w:cs="Arial"/>
                <w:noProof/>
                <w:lang w:eastAsia="en-GB"/>
              </w:rPr>
              <w:t>IDR indicators for Environment</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_Toc3200583 \h </w:instrText>
            </w:r>
            <w:r w:rsidR="00091178" w:rsidRPr="00091178">
              <w:rPr>
                <w:noProof/>
                <w:webHidden/>
              </w:rPr>
            </w:r>
            <w:r w:rsidR="00091178" w:rsidRPr="00091178">
              <w:rPr>
                <w:noProof/>
                <w:webHidden/>
              </w:rPr>
              <w:fldChar w:fldCharType="separate"/>
            </w:r>
            <w:r w:rsidR="00091178" w:rsidRPr="00091178">
              <w:rPr>
                <w:noProof/>
                <w:webHidden/>
              </w:rPr>
              <w:t>20</w:t>
            </w:r>
            <w:r w:rsidR="00091178" w:rsidRPr="00091178">
              <w:rPr>
                <w:noProof/>
                <w:webHidden/>
              </w:rPr>
              <w:fldChar w:fldCharType="end"/>
            </w:r>
          </w:hyperlink>
        </w:p>
        <w:p w14:paraId="1E2260D4" w14:textId="77777777" w:rsidR="00091178" w:rsidRPr="00091178" w:rsidRDefault="00314B4C">
          <w:pPr>
            <w:pStyle w:val="TOC2"/>
            <w:tabs>
              <w:tab w:val="right" w:leader="dot" w:pos="9350"/>
            </w:tabs>
            <w:rPr>
              <w:rFonts w:asciiTheme="minorHAnsi" w:hAnsiTheme="minorHAnsi"/>
              <w:noProof/>
              <w:sz w:val="22"/>
              <w:szCs w:val="22"/>
            </w:rPr>
          </w:pPr>
          <w:hyperlink w:anchor="_Toc3200584" w:history="1">
            <w:r w:rsidR="00091178" w:rsidRPr="00091178">
              <w:rPr>
                <w:rStyle w:val="Hyperlink"/>
                <w:rFonts w:eastAsia="Times New Roman" w:cs="Arial"/>
                <w:noProof/>
                <w:lang w:eastAsia="en-GB"/>
              </w:rPr>
              <w:t>Interdisciplinary research and institutional-level assessment</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_Toc3200584 \h </w:instrText>
            </w:r>
            <w:r w:rsidR="00091178" w:rsidRPr="00091178">
              <w:rPr>
                <w:noProof/>
                <w:webHidden/>
              </w:rPr>
            </w:r>
            <w:r w:rsidR="00091178" w:rsidRPr="00091178">
              <w:rPr>
                <w:noProof/>
                <w:webHidden/>
              </w:rPr>
              <w:fldChar w:fldCharType="separate"/>
            </w:r>
            <w:r w:rsidR="00091178" w:rsidRPr="00091178">
              <w:rPr>
                <w:noProof/>
                <w:webHidden/>
              </w:rPr>
              <w:t>20</w:t>
            </w:r>
            <w:r w:rsidR="00091178" w:rsidRPr="00091178">
              <w:rPr>
                <w:noProof/>
                <w:webHidden/>
              </w:rPr>
              <w:fldChar w:fldCharType="end"/>
            </w:r>
          </w:hyperlink>
        </w:p>
        <w:p w14:paraId="27E954F9" w14:textId="77777777" w:rsidR="00091178" w:rsidRPr="00091178" w:rsidRDefault="00314B4C">
          <w:pPr>
            <w:pStyle w:val="TOC2"/>
            <w:tabs>
              <w:tab w:val="right" w:leader="dot" w:pos="9350"/>
            </w:tabs>
            <w:rPr>
              <w:rFonts w:asciiTheme="minorHAnsi" w:hAnsiTheme="minorHAnsi"/>
              <w:noProof/>
              <w:sz w:val="22"/>
              <w:szCs w:val="22"/>
            </w:rPr>
          </w:pPr>
          <w:hyperlink w:anchor="_Toc3200585" w:history="1">
            <w:r w:rsidR="00091178" w:rsidRPr="00091178">
              <w:rPr>
                <w:rStyle w:val="Hyperlink"/>
                <w:rFonts w:eastAsia="Times New Roman" w:cs="Arial"/>
                <w:noProof/>
                <w:lang w:eastAsia="en-GB"/>
              </w:rPr>
              <w:t>Panel members’ reflections</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_Toc3200585 \h </w:instrText>
            </w:r>
            <w:r w:rsidR="00091178" w:rsidRPr="00091178">
              <w:rPr>
                <w:noProof/>
                <w:webHidden/>
              </w:rPr>
            </w:r>
            <w:r w:rsidR="00091178" w:rsidRPr="00091178">
              <w:rPr>
                <w:noProof/>
                <w:webHidden/>
              </w:rPr>
              <w:fldChar w:fldCharType="separate"/>
            </w:r>
            <w:r w:rsidR="00091178" w:rsidRPr="00091178">
              <w:rPr>
                <w:noProof/>
                <w:webHidden/>
              </w:rPr>
              <w:t>21</w:t>
            </w:r>
            <w:r w:rsidR="00091178" w:rsidRPr="00091178">
              <w:rPr>
                <w:noProof/>
                <w:webHidden/>
              </w:rPr>
              <w:fldChar w:fldCharType="end"/>
            </w:r>
          </w:hyperlink>
        </w:p>
        <w:p w14:paraId="3D6D9186" w14:textId="77777777" w:rsidR="00091178" w:rsidRPr="00091178" w:rsidRDefault="00314B4C">
          <w:pPr>
            <w:pStyle w:val="TOC2"/>
            <w:tabs>
              <w:tab w:val="right" w:leader="dot" w:pos="9350"/>
            </w:tabs>
            <w:rPr>
              <w:rFonts w:asciiTheme="minorHAnsi" w:hAnsiTheme="minorHAnsi"/>
              <w:noProof/>
              <w:sz w:val="22"/>
              <w:szCs w:val="22"/>
            </w:rPr>
          </w:pPr>
          <w:hyperlink w:anchor="_Toc3200586" w:history="1">
            <w:r w:rsidR="00091178" w:rsidRPr="00091178">
              <w:rPr>
                <w:rStyle w:val="Hyperlink"/>
                <w:rFonts w:eastAsia="Times New Roman" w:cs="Arial"/>
                <w:noProof/>
                <w:lang w:eastAsia="en-GB"/>
              </w:rPr>
              <w:t>Assessment phase working methods and implementation</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_Toc3200586 \h </w:instrText>
            </w:r>
            <w:r w:rsidR="00091178" w:rsidRPr="00091178">
              <w:rPr>
                <w:noProof/>
                <w:webHidden/>
              </w:rPr>
            </w:r>
            <w:r w:rsidR="00091178" w:rsidRPr="00091178">
              <w:rPr>
                <w:noProof/>
                <w:webHidden/>
              </w:rPr>
              <w:fldChar w:fldCharType="separate"/>
            </w:r>
            <w:r w:rsidR="00091178" w:rsidRPr="00091178">
              <w:rPr>
                <w:noProof/>
                <w:webHidden/>
              </w:rPr>
              <w:t>22</w:t>
            </w:r>
            <w:r w:rsidR="00091178" w:rsidRPr="00091178">
              <w:rPr>
                <w:noProof/>
                <w:webHidden/>
              </w:rPr>
              <w:fldChar w:fldCharType="end"/>
            </w:r>
          </w:hyperlink>
        </w:p>
        <w:p w14:paraId="2F749CF2" w14:textId="77777777" w:rsidR="00091178" w:rsidRPr="00091178" w:rsidRDefault="00314B4C">
          <w:pPr>
            <w:pStyle w:val="TOC2"/>
            <w:tabs>
              <w:tab w:val="right" w:leader="dot" w:pos="9350"/>
            </w:tabs>
            <w:rPr>
              <w:rFonts w:asciiTheme="minorHAnsi" w:hAnsiTheme="minorHAnsi"/>
              <w:noProof/>
              <w:sz w:val="22"/>
              <w:szCs w:val="22"/>
            </w:rPr>
          </w:pPr>
          <w:hyperlink w:anchor="_Toc3200587" w:history="1">
            <w:r w:rsidR="00091178" w:rsidRPr="00091178">
              <w:rPr>
                <w:rStyle w:val="Hyperlink"/>
                <w:rFonts w:eastAsia="Times New Roman" w:cs="Arial"/>
                <w:noProof/>
                <w:lang w:eastAsia="en-GB"/>
              </w:rPr>
              <w:t>Support for IDR measures through REF 2021 and IDAP’s future role:</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_Toc3200587 \h </w:instrText>
            </w:r>
            <w:r w:rsidR="00091178" w:rsidRPr="00091178">
              <w:rPr>
                <w:noProof/>
                <w:webHidden/>
              </w:rPr>
            </w:r>
            <w:r w:rsidR="00091178" w:rsidRPr="00091178">
              <w:rPr>
                <w:noProof/>
                <w:webHidden/>
              </w:rPr>
              <w:fldChar w:fldCharType="separate"/>
            </w:r>
            <w:r w:rsidR="00091178" w:rsidRPr="00091178">
              <w:rPr>
                <w:noProof/>
                <w:webHidden/>
              </w:rPr>
              <w:t>22</w:t>
            </w:r>
            <w:r w:rsidR="00091178" w:rsidRPr="00091178">
              <w:rPr>
                <w:noProof/>
                <w:webHidden/>
              </w:rPr>
              <w:fldChar w:fldCharType="end"/>
            </w:r>
          </w:hyperlink>
        </w:p>
        <w:p w14:paraId="27B5AC88" w14:textId="77777777" w:rsidR="00091178" w:rsidRDefault="00314B4C">
          <w:pPr>
            <w:pStyle w:val="TOC1"/>
            <w:rPr>
              <w:rFonts w:asciiTheme="minorHAnsi" w:hAnsiTheme="minorHAnsi" w:cstheme="minorBidi"/>
              <w:b w:val="0"/>
            </w:rPr>
          </w:pPr>
          <w:hyperlink w:anchor="_Toc3200588" w:history="1">
            <w:r w:rsidR="00091178" w:rsidRPr="000D1F4C">
              <w:rPr>
                <w:rStyle w:val="Hyperlink"/>
              </w:rPr>
              <w:t>Part 3: Recommendations and further considerations for the future</w:t>
            </w:r>
            <w:r w:rsidR="00091178">
              <w:rPr>
                <w:webHidden/>
              </w:rPr>
              <w:tab/>
            </w:r>
            <w:r w:rsidR="00091178">
              <w:rPr>
                <w:webHidden/>
              </w:rPr>
              <w:fldChar w:fldCharType="begin"/>
            </w:r>
            <w:r w:rsidR="00091178">
              <w:rPr>
                <w:webHidden/>
              </w:rPr>
              <w:instrText xml:space="preserve"> PAGEREF _Toc3200588 \h </w:instrText>
            </w:r>
            <w:r w:rsidR="00091178">
              <w:rPr>
                <w:webHidden/>
              </w:rPr>
            </w:r>
            <w:r w:rsidR="00091178">
              <w:rPr>
                <w:webHidden/>
              </w:rPr>
              <w:fldChar w:fldCharType="separate"/>
            </w:r>
            <w:r w:rsidR="00091178">
              <w:rPr>
                <w:webHidden/>
              </w:rPr>
              <w:t>24</w:t>
            </w:r>
            <w:r w:rsidR="00091178">
              <w:rPr>
                <w:webHidden/>
              </w:rPr>
              <w:fldChar w:fldCharType="end"/>
            </w:r>
          </w:hyperlink>
        </w:p>
        <w:p w14:paraId="7FA8B538" w14:textId="77777777" w:rsidR="00091178" w:rsidRPr="00091178" w:rsidRDefault="00314B4C">
          <w:pPr>
            <w:pStyle w:val="TOC2"/>
            <w:tabs>
              <w:tab w:val="right" w:leader="dot" w:pos="9350"/>
            </w:tabs>
            <w:rPr>
              <w:rFonts w:asciiTheme="minorHAnsi" w:hAnsiTheme="minorHAnsi"/>
              <w:noProof/>
              <w:sz w:val="22"/>
              <w:szCs w:val="22"/>
            </w:rPr>
          </w:pPr>
          <w:hyperlink w:anchor="_Toc3200589" w:history="1">
            <w:r w:rsidR="00091178" w:rsidRPr="00091178">
              <w:rPr>
                <w:rStyle w:val="Hyperlink"/>
                <w:rFonts w:eastAsia="Times New Roman" w:cs="Arial"/>
                <w:noProof/>
                <w:lang w:eastAsia="en-GB"/>
              </w:rPr>
              <w:t>Reflections on the process</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_Toc3200589 \h </w:instrText>
            </w:r>
            <w:r w:rsidR="00091178" w:rsidRPr="00091178">
              <w:rPr>
                <w:noProof/>
                <w:webHidden/>
              </w:rPr>
            </w:r>
            <w:r w:rsidR="00091178" w:rsidRPr="00091178">
              <w:rPr>
                <w:noProof/>
                <w:webHidden/>
              </w:rPr>
              <w:fldChar w:fldCharType="separate"/>
            </w:r>
            <w:r w:rsidR="00091178" w:rsidRPr="00091178">
              <w:rPr>
                <w:noProof/>
                <w:webHidden/>
              </w:rPr>
              <w:t>25</w:t>
            </w:r>
            <w:r w:rsidR="00091178" w:rsidRPr="00091178">
              <w:rPr>
                <w:noProof/>
                <w:webHidden/>
              </w:rPr>
              <w:fldChar w:fldCharType="end"/>
            </w:r>
          </w:hyperlink>
        </w:p>
        <w:p w14:paraId="063D210E" w14:textId="77777777" w:rsidR="00091178" w:rsidRPr="00091178" w:rsidRDefault="00314B4C">
          <w:pPr>
            <w:pStyle w:val="TOC2"/>
            <w:tabs>
              <w:tab w:val="right" w:leader="dot" w:pos="9350"/>
            </w:tabs>
            <w:rPr>
              <w:rFonts w:asciiTheme="minorHAnsi" w:hAnsiTheme="minorHAnsi"/>
              <w:noProof/>
              <w:sz w:val="22"/>
              <w:szCs w:val="22"/>
            </w:rPr>
          </w:pPr>
          <w:hyperlink w:anchor="_Toc3200590" w:history="1">
            <w:r w:rsidR="00091178" w:rsidRPr="00091178">
              <w:rPr>
                <w:rStyle w:val="Hyperlink"/>
                <w:rFonts w:eastAsia="Times New Roman" w:cs="Arial"/>
                <w:noProof/>
                <w:lang w:eastAsia="en-GB"/>
              </w:rPr>
              <w:t>Recommendations</w:t>
            </w:r>
            <w:r w:rsidR="00091178" w:rsidRPr="00091178">
              <w:rPr>
                <w:noProof/>
                <w:webHidden/>
              </w:rPr>
              <w:tab/>
            </w:r>
            <w:r w:rsidR="00091178" w:rsidRPr="00091178">
              <w:rPr>
                <w:noProof/>
                <w:webHidden/>
              </w:rPr>
              <w:fldChar w:fldCharType="begin"/>
            </w:r>
            <w:r w:rsidR="00091178" w:rsidRPr="00091178">
              <w:rPr>
                <w:noProof/>
                <w:webHidden/>
              </w:rPr>
              <w:instrText xml:space="preserve"> PAGEREF _Toc3200590 \h </w:instrText>
            </w:r>
            <w:r w:rsidR="00091178" w:rsidRPr="00091178">
              <w:rPr>
                <w:noProof/>
                <w:webHidden/>
              </w:rPr>
            </w:r>
            <w:r w:rsidR="00091178" w:rsidRPr="00091178">
              <w:rPr>
                <w:noProof/>
                <w:webHidden/>
              </w:rPr>
              <w:fldChar w:fldCharType="separate"/>
            </w:r>
            <w:r w:rsidR="00091178" w:rsidRPr="00091178">
              <w:rPr>
                <w:noProof/>
                <w:webHidden/>
              </w:rPr>
              <w:t>25</w:t>
            </w:r>
            <w:r w:rsidR="00091178" w:rsidRPr="00091178">
              <w:rPr>
                <w:noProof/>
                <w:webHidden/>
              </w:rPr>
              <w:fldChar w:fldCharType="end"/>
            </w:r>
          </w:hyperlink>
        </w:p>
        <w:p w14:paraId="7229C55D" w14:textId="77777777" w:rsidR="00091178" w:rsidRDefault="00314B4C">
          <w:pPr>
            <w:pStyle w:val="TOC1"/>
            <w:rPr>
              <w:rFonts w:asciiTheme="minorHAnsi" w:hAnsiTheme="minorHAnsi" w:cstheme="minorBidi"/>
              <w:b w:val="0"/>
            </w:rPr>
          </w:pPr>
          <w:hyperlink w:anchor="_Toc3200591" w:history="1">
            <w:r w:rsidR="00091178" w:rsidRPr="000D1F4C">
              <w:rPr>
                <w:rStyle w:val="Hyperlink"/>
                <w:rFonts w:eastAsia="Times New Roman"/>
                <w:lang w:eastAsia="en-GB"/>
              </w:rPr>
              <w:t>Annex A: Terms of Reference</w:t>
            </w:r>
            <w:r w:rsidR="00091178">
              <w:rPr>
                <w:webHidden/>
              </w:rPr>
              <w:tab/>
            </w:r>
            <w:r w:rsidR="00091178">
              <w:rPr>
                <w:webHidden/>
              </w:rPr>
              <w:fldChar w:fldCharType="begin"/>
            </w:r>
            <w:r w:rsidR="00091178">
              <w:rPr>
                <w:webHidden/>
              </w:rPr>
              <w:instrText xml:space="preserve"> PAGEREF _Toc3200591 \h </w:instrText>
            </w:r>
            <w:r w:rsidR="00091178">
              <w:rPr>
                <w:webHidden/>
              </w:rPr>
            </w:r>
            <w:r w:rsidR="00091178">
              <w:rPr>
                <w:webHidden/>
              </w:rPr>
              <w:fldChar w:fldCharType="separate"/>
            </w:r>
            <w:r w:rsidR="00091178">
              <w:rPr>
                <w:webHidden/>
              </w:rPr>
              <w:t>27</w:t>
            </w:r>
            <w:r w:rsidR="00091178">
              <w:rPr>
                <w:webHidden/>
              </w:rPr>
              <w:fldChar w:fldCharType="end"/>
            </w:r>
          </w:hyperlink>
        </w:p>
        <w:p w14:paraId="4785723A" w14:textId="77777777" w:rsidR="00091178" w:rsidRDefault="00314B4C">
          <w:pPr>
            <w:pStyle w:val="TOC1"/>
            <w:rPr>
              <w:rFonts w:asciiTheme="minorHAnsi" w:hAnsiTheme="minorHAnsi" w:cstheme="minorBidi"/>
              <w:b w:val="0"/>
            </w:rPr>
          </w:pPr>
          <w:hyperlink w:anchor="_Toc3200592" w:history="1">
            <w:r w:rsidR="00091178" w:rsidRPr="000D1F4C">
              <w:rPr>
                <w:rStyle w:val="Hyperlink"/>
                <w:rFonts w:eastAsia="Times New Roman"/>
                <w:bCs/>
              </w:rPr>
              <w:t>Annex B: Membership of the Interdisciplinary Advisory Panel (IDAP) REF 2021</w:t>
            </w:r>
            <w:r w:rsidR="00091178">
              <w:rPr>
                <w:webHidden/>
              </w:rPr>
              <w:tab/>
            </w:r>
            <w:r w:rsidR="00091178">
              <w:rPr>
                <w:webHidden/>
              </w:rPr>
              <w:fldChar w:fldCharType="begin"/>
            </w:r>
            <w:r w:rsidR="00091178">
              <w:rPr>
                <w:webHidden/>
              </w:rPr>
              <w:instrText xml:space="preserve"> PAGEREF _Toc3200592 \h </w:instrText>
            </w:r>
            <w:r w:rsidR="00091178">
              <w:rPr>
                <w:webHidden/>
              </w:rPr>
            </w:r>
            <w:r w:rsidR="00091178">
              <w:rPr>
                <w:webHidden/>
              </w:rPr>
              <w:fldChar w:fldCharType="separate"/>
            </w:r>
            <w:r w:rsidR="00091178">
              <w:rPr>
                <w:webHidden/>
              </w:rPr>
              <w:t>29</w:t>
            </w:r>
            <w:r w:rsidR="00091178">
              <w:rPr>
                <w:webHidden/>
              </w:rPr>
              <w:fldChar w:fldCharType="end"/>
            </w:r>
          </w:hyperlink>
        </w:p>
        <w:p w14:paraId="5BCAAA2E" w14:textId="5F7ADFCC" w:rsidR="00091178" w:rsidRDefault="00314B4C" w:rsidP="00091178">
          <w:pPr>
            <w:pStyle w:val="TOC1"/>
          </w:pPr>
          <w:hyperlink w:anchor="_Toc3200593" w:history="1">
            <w:r w:rsidR="00091178" w:rsidRPr="000D1F4C">
              <w:rPr>
                <w:rStyle w:val="Hyperlink"/>
              </w:rPr>
              <w:t>Annex C: Published definitions of interdisciplinary research</w:t>
            </w:r>
            <w:r w:rsidR="00091178">
              <w:rPr>
                <w:webHidden/>
              </w:rPr>
              <w:tab/>
            </w:r>
            <w:r w:rsidR="00091178">
              <w:rPr>
                <w:webHidden/>
              </w:rPr>
              <w:fldChar w:fldCharType="begin"/>
            </w:r>
            <w:r w:rsidR="00091178">
              <w:rPr>
                <w:webHidden/>
              </w:rPr>
              <w:instrText xml:space="preserve"> PAGEREF _Toc3200593 \h </w:instrText>
            </w:r>
            <w:r w:rsidR="00091178">
              <w:rPr>
                <w:webHidden/>
              </w:rPr>
            </w:r>
            <w:r w:rsidR="00091178">
              <w:rPr>
                <w:webHidden/>
              </w:rPr>
              <w:fldChar w:fldCharType="separate"/>
            </w:r>
            <w:r w:rsidR="00091178">
              <w:rPr>
                <w:webHidden/>
              </w:rPr>
              <w:t>30</w:t>
            </w:r>
            <w:r w:rsidR="00091178">
              <w:rPr>
                <w:webHidden/>
              </w:rPr>
              <w:fldChar w:fldCharType="end"/>
            </w:r>
          </w:hyperlink>
          <w:r w:rsidR="00091178">
            <w:fldChar w:fldCharType="end"/>
          </w:r>
        </w:p>
      </w:sdtContent>
    </w:sdt>
    <w:p w14:paraId="2675610C" w14:textId="77777777" w:rsidR="007B575E" w:rsidRPr="00570383" w:rsidRDefault="007B575E" w:rsidP="007B575E">
      <w:pPr>
        <w:spacing w:after="0" w:line="300" w:lineRule="atLeast"/>
        <w:jc w:val="right"/>
      </w:pPr>
    </w:p>
    <w:p w14:paraId="0018D411" w14:textId="77777777" w:rsidR="007B575E" w:rsidRPr="00570383" w:rsidRDefault="007B575E" w:rsidP="007B575E">
      <w:pPr>
        <w:spacing w:after="0" w:line="300" w:lineRule="atLeast"/>
        <w:jc w:val="right"/>
      </w:pPr>
    </w:p>
    <w:p w14:paraId="416EEFFD" w14:textId="5B4F56A1" w:rsidR="00B70D73" w:rsidRPr="00091178" w:rsidRDefault="00B70D73" w:rsidP="00091178">
      <w:pPr>
        <w:rPr>
          <w:rFonts w:cs="Arial"/>
        </w:rPr>
      </w:pPr>
      <w:bookmarkStart w:id="1" w:name="_Toc3200563"/>
      <w:r w:rsidRPr="00C57F29">
        <w:rPr>
          <w:rFonts w:ascii="Arial" w:hAnsi="Arial" w:cs="Arial"/>
          <w:b/>
          <w:sz w:val="32"/>
          <w:szCs w:val="32"/>
        </w:rPr>
        <w:t>Executive Summary</w:t>
      </w:r>
      <w:bookmarkEnd w:id="1"/>
    </w:p>
    <w:p w14:paraId="57F9922D" w14:textId="161BA82F" w:rsidR="00B70D73" w:rsidRPr="00C57F29" w:rsidRDefault="00277C14" w:rsidP="0034062C">
      <w:pPr>
        <w:pStyle w:val="Heading2"/>
        <w:rPr>
          <w:rFonts w:ascii="Arial" w:hAnsi="Arial" w:cs="Arial"/>
          <w:b/>
          <w:color w:val="auto"/>
          <w:sz w:val="21"/>
          <w:szCs w:val="21"/>
        </w:rPr>
      </w:pPr>
      <w:bookmarkStart w:id="2" w:name="_Toc3200564"/>
      <w:r w:rsidRPr="00C57F29">
        <w:rPr>
          <w:rFonts w:ascii="Arial" w:hAnsi="Arial" w:cs="Arial"/>
          <w:b/>
          <w:color w:val="auto"/>
          <w:sz w:val="21"/>
          <w:szCs w:val="21"/>
        </w:rPr>
        <w:t>Key points</w:t>
      </w:r>
      <w:bookmarkEnd w:id="2"/>
    </w:p>
    <w:p w14:paraId="00B91BC7" w14:textId="77777777" w:rsidR="00345D8D" w:rsidRDefault="00345D8D" w:rsidP="00EB5B4E">
      <w:pPr>
        <w:spacing w:after="0" w:line="300" w:lineRule="atLeast"/>
        <w:rPr>
          <w:rFonts w:ascii="Arial" w:hAnsi="Arial" w:cs="Arial"/>
        </w:rPr>
      </w:pPr>
    </w:p>
    <w:p w14:paraId="5AA2ED58" w14:textId="3910EE9F" w:rsidR="00EB5B4E" w:rsidRPr="002047D3" w:rsidRDefault="00EB5B4E" w:rsidP="00EB5B4E">
      <w:pPr>
        <w:spacing w:after="0" w:line="300" w:lineRule="atLeast"/>
        <w:rPr>
          <w:rFonts w:ascii="Arial" w:hAnsi="Arial" w:cs="Arial"/>
        </w:rPr>
      </w:pPr>
      <w:r w:rsidRPr="002047D3">
        <w:rPr>
          <w:rFonts w:ascii="Arial" w:hAnsi="Arial" w:cs="Arial"/>
        </w:rPr>
        <w:t xml:space="preserve">The independent review of REF 2014 chaired by Lord Stern noted concerns within the research community </w:t>
      </w:r>
      <w:r>
        <w:rPr>
          <w:rFonts w:ascii="Arial" w:hAnsi="Arial" w:cs="Arial"/>
        </w:rPr>
        <w:t>regarding</w:t>
      </w:r>
      <w:r w:rsidRPr="002047D3">
        <w:rPr>
          <w:rFonts w:ascii="Arial" w:hAnsi="Arial" w:cs="Arial"/>
        </w:rPr>
        <w:t xml:space="preserve"> interdisciplinary research (IDR)</w:t>
      </w:r>
      <w:r>
        <w:rPr>
          <w:rFonts w:ascii="Arial" w:hAnsi="Arial" w:cs="Arial"/>
        </w:rPr>
        <w:t>: it was</w:t>
      </w:r>
      <w:r w:rsidRPr="002047D3">
        <w:rPr>
          <w:rFonts w:ascii="Arial" w:hAnsi="Arial" w:cs="Arial"/>
        </w:rPr>
        <w:t xml:space="preserve"> perceived to have been disadvantaged </w:t>
      </w:r>
      <w:r>
        <w:rPr>
          <w:rFonts w:ascii="Arial" w:hAnsi="Arial" w:cs="Arial"/>
        </w:rPr>
        <w:t xml:space="preserve">at </w:t>
      </w:r>
      <w:r w:rsidRPr="002047D3">
        <w:rPr>
          <w:rFonts w:ascii="Arial" w:hAnsi="Arial" w:cs="Arial"/>
        </w:rPr>
        <w:t xml:space="preserve">assessment. Analysis of the assessment demonstrated that this </w:t>
      </w:r>
      <w:r>
        <w:rPr>
          <w:rFonts w:ascii="Arial" w:hAnsi="Arial" w:cs="Arial"/>
        </w:rPr>
        <w:t>had</w:t>
      </w:r>
      <w:r w:rsidRPr="002047D3">
        <w:rPr>
          <w:rFonts w:ascii="Arial" w:hAnsi="Arial" w:cs="Arial"/>
        </w:rPr>
        <w:t xml:space="preserve"> not</w:t>
      </w:r>
      <w:r>
        <w:rPr>
          <w:rFonts w:ascii="Arial" w:hAnsi="Arial" w:cs="Arial"/>
        </w:rPr>
        <w:t xml:space="preserve"> been</w:t>
      </w:r>
      <w:r w:rsidRPr="002047D3">
        <w:rPr>
          <w:rFonts w:ascii="Arial" w:hAnsi="Arial" w:cs="Arial"/>
        </w:rPr>
        <w:t xml:space="preserve"> the case</w:t>
      </w:r>
      <w:r>
        <w:rPr>
          <w:rFonts w:ascii="Arial" w:hAnsi="Arial" w:cs="Arial"/>
        </w:rPr>
        <w:t>. However the</w:t>
      </w:r>
      <w:r w:rsidRPr="002047D3">
        <w:rPr>
          <w:rFonts w:ascii="Arial" w:hAnsi="Arial" w:cs="Arial"/>
        </w:rPr>
        <w:t xml:space="preserve"> lower proportion of IDR submitted relative to what </w:t>
      </w:r>
      <w:r>
        <w:rPr>
          <w:rFonts w:ascii="Arial" w:hAnsi="Arial" w:cs="Arial"/>
        </w:rPr>
        <w:t>might have been</w:t>
      </w:r>
      <w:r w:rsidRPr="002047D3">
        <w:rPr>
          <w:rFonts w:ascii="Arial" w:hAnsi="Arial" w:cs="Arial"/>
        </w:rPr>
        <w:t xml:space="preserve"> expected</w:t>
      </w:r>
      <w:r>
        <w:rPr>
          <w:rFonts w:ascii="Arial" w:hAnsi="Arial" w:cs="Arial"/>
        </w:rPr>
        <w:t xml:space="preserve"> suggested low confidence within the community of fair treatment for IDR</w:t>
      </w:r>
      <w:r w:rsidRPr="002047D3">
        <w:rPr>
          <w:rFonts w:ascii="Arial" w:hAnsi="Arial" w:cs="Arial"/>
        </w:rPr>
        <w:t xml:space="preserve">. The report recommended that structures </w:t>
      </w:r>
      <w:r>
        <w:rPr>
          <w:rFonts w:ascii="Arial" w:hAnsi="Arial" w:cs="Arial"/>
        </w:rPr>
        <w:t xml:space="preserve">should be implemented </w:t>
      </w:r>
      <w:r w:rsidRPr="002047D3">
        <w:rPr>
          <w:rFonts w:ascii="Arial" w:hAnsi="Arial" w:cs="Arial"/>
        </w:rPr>
        <w:t xml:space="preserve">to support submission and assessment of IDR in REF 2021. </w:t>
      </w:r>
    </w:p>
    <w:p w14:paraId="4C46A280" w14:textId="77777777" w:rsidR="00B70D73" w:rsidRPr="002047D3" w:rsidRDefault="00B70D73" w:rsidP="00B70D73">
      <w:pPr>
        <w:spacing w:after="0" w:line="300" w:lineRule="atLeast"/>
        <w:rPr>
          <w:rFonts w:ascii="Arial" w:hAnsi="Arial" w:cs="Arial"/>
        </w:rPr>
      </w:pPr>
    </w:p>
    <w:p w14:paraId="02E410FC" w14:textId="6C8666B2" w:rsidR="00B70D73" w:rsidRDefault="00B70D73" w:rsidP="00B70D73">
      <w:pPr>
        <w:spacing w:after="0" w:line="300" w:lineRule="atLeast"/>
        <w:rPr>
          <w:rFonts w:ascii="Arial" w:hAnsi="Arial" w:cs="Arial"/>
        </w:rPr>
      </w:pPr>
      <w:r w:rsidRPr="002047D3">
        <w:rPr>
          <w:rFonts w:ascii="Arial" w:hAnsi="Arial" w:cs="Arial"/>
        </w:rPr>
        <w:t xml:space="preserve">IDAP was appointed to provide expert advice and recommendations </w:t>
      </w:r>
      <w:r>
        <w:rPr>
          <w:rFonts w:ascii="Arial" w:hAnsi="Arial" w:cs="Arial"/>
        </w:rPr>
        <w:t xml:space="preserve">to ensure equitable treatment </w:t>
      </w:r>
      <w:r w:rsidRPr="002047D3">
        <w:rPr>
          <w:rFonts w:ascii="Arial" w:hAnsi="Arial" w:cs="Arial"/>
        </w:rPr>
        <w:t>of IDR</w:t>
      </w:r>
      <w:r>
        <w:rPr>
          <w:rFonts w:ascii="Arial" w:hAnsi="Arial" w:cs="Arial"/>
        </w:rPr>
        <w:t xml:space="preserve"> in REF 2021</w:t>
      </w:r>
      <w:r w:rsidRPr="002047D3">
        <w:rPr>
          <w:rFonts w:ascii="Arial" w:hAnsi="Arial" w:cs="Arial"/>
        </w:rPr>
        <w:t xml:space="preserve">. The chair of the panel is Professor Dame Athene Donald, and panel members were appointed </w:t>
      </w:r>
      <w:r w:rsidR="009953D1">
        <w:rPr>
          <w:rFonts w:ascii="Arial" w:hAnsi="Arial" w:cs="Arial"/>
        </w:rPr>
        <w:t xml:space="preserve">on the basis of </w:t>
      </w:r>
      <w:r>
        <w:rPr>
          <w:rFonts w:ascii="Arial" w:hAnsi="Arial" w:cs="Arial"/>
        </w:rPr>
        <w:t xml:space="preserve">relevant </w:t>
      </w:r>
      <w:r w:rsidRPr="002047D3">
        <w:rPr>
          <w:rFonts w:ascii="Arial" w:hAnsi="Arial" w:cs="Arial"/>
        </w:rPr>
        <w:t xml:space="preserve">expertise. An underpinning principle for the panel’s work was that IDR should be neither advantaged nor disadvantaged for assessment in the REF. </w:t>
      </w:r>
    </w:p>
    <w:p w14:paraId="4CD4D933" w14:textId="77777777" w:rsidR="00B70D73" w:rsidRDefault="00B70D73" w:rsidP="00B70D73">
      <w:pPr>
        <w:spacing w:after="0" w:line="300" w:lineRule="atLeast"/>
        <w:rPr>
          <w:rFonts w:ascii="Arial" w:hAnsi="Arial" w:cs="Arial"/>
        </w:rPr>
      </w:pPr>
    </w:p>
    <w:p w14:paraId="2BC70DA2" w14:textId="599F1DC1" w:rsidR="00324FF3" w:rsidRDefault="00324FF3" w:rsidP="00324FF3">
      <w:pPr>
        <w:spacing w:line="300" w:lineRule="atLeast"/>
        <w:rPr>
          <w:rFonts w:ascii="Arial" w:hAnsi="Arial" w:cs="Arial"/>
        </w:rPr>
      </w:pPr>
      <w:r>
        <w:rPr>
          <w:rFonts w:ascii="Arial" w:hAnsi="Arial" w:cs="Arial"/>
        </w:rPr>
        <w:t>IDAP members noted that analysis of REF 2014 impact case studies submitted had demonstrated significant</w:t>
      </w:r>
      <w:r w:rsidR="00EB5B4E">
        <w:rPr>
          <w:rFonts w:ascii="Arial" w:hAnsi="Arial" w:cs="Arial"/>
        </w:rPr>
        <w:t xml:space="preserve"> underpinning</w:t>
      </w:r>
      <w:r>
        <w:rPr>
          <w:rFonts w:ascii="Arial" w:hAnsi="Arial" w:cs="Arial"/>
        </w:rPr>
        <w:t xml:space="preserve"> IDR. The panel concluded that this was therefore an area for which further specific guidance would not be required, and that their advice should focus on assessment of IDR outputs. </w:t>
      </w:r>
      <w:r w:rsidR="008907F3">
        <w:rPr>
          <w:rFonts w:ascii="Arial" w:hAnsi="Arial" w:cs="Arial"/>
        </w:rPr>
        <w:t xml:space="preserve">Additionally </w:t>
      </w:r>
      <w:r>
        <w:rPr>
          <w:rFonts w:ascii="Arial" w:hAnsi="Arial" w:cs="Arial"/>
        </w:rPr>
        <w:t>IDAP supported the inclusion of IDR for consideration in unit-level and institutional environment submissions. While the timing of the panel’s appointment meant that their input into development of the institutional environment submission was limited, IDAP provided advice on</w:t>
      </w:r>
      <w:r w:rsidR="008907F3">
        <w:rPr>
          <w:rFonts w:ascii="Arial" w:hAnsi="Arial" w:cs="Arial"/>
        </w:rPr>
        <w:t xml:space="preserve"> possible</w:t>
      </w:r>
      <w:r>
        <w:rPr>
          <w:rFonts w:ascii="Arial" w:hAnsi="Arial" w:cs="Arial"/>
        </w:rPr>
        <w:t xml:space="preserve"> metrics for unit-level and institutional environment submission. The panel considered that institutions should identify indicators relevant for their own context rather than supporting a “standard” set, however noting full support for the principles developed by the Forum for Responsible Research Metrics for environment indicators. </w:t>
      </w:r>
    </w:p>
    <w:p w14:paraId="57A4E128" w14:textId="47A04F24" w:rsidR="00B70D73" w:rsidRPr="002047D3" w:rsidRDefault="00B70D73" w:rsidP="00B70D73">
      <w:pPr>
        <w:spacing w:after="0" w:line="300" w:lineRule="atLeast"/>
        <w:rPr>
          <w:rFonts w:ascii="Arial" w:hAnsi="Arial" w:cs="Arial"/>
        </w:rPr>
      </w:pPr>
      <w:r>
        <w:rPr>
          <w:rFonts w:ascii="Arial" w:hAnsi="Arial" w:cs="Arial"/>
        </w:rPr>
        <w:t xml:space="preserve">IDAP </w:t>
      </w:r>
      <w:r w:rsidRPr="002047D3">
        <w:rPr>
          <w:rFonts w:ascii="Arial" w:hAnsi="Arial" w:cs="Arial"/>
        </w:rPr>
        <w:t xml:space="preserve">considered relevant evidence and made a number of recommendations </w:t>
      </w:r>
      <w:r w:rsidR="008907F3">
        <w:rPr>
          <w:rFonts w:ascii="Arial" w:hAnsi="Arial" w:cs="Arial"/>
        </w:rPr>
        <w:t xml:space="preserve">regarding outputs </w:t>
      </w:r>
      <w:r w:rsidRPr="002047D3">
        <w:rPr>
          <w:rFonts w:ascii="Arial" w:hAnsi="Arial" w:cs="Arial"/>
        </w:rPr>
        <w:t xml:space="preserve">for </w:t>
      </w:r>
      <w:r>
        <w:rPr>
          <w:rFonts w:ascii="Arial" w:hAnsi="Arial" w:cs="Arial"/>
        </w:rPr>
        <w:t xml:space="preserve">inclusion </w:t>
      </w:r>
      <w:r w:rsidRPr="002047D3">
        <w:rPr>
          <w:rFonts w:ascii="Arial" w:hAnsi="Arial" w:cs="Arial"/>
        </w:rPr>
        <w:t xml:space="preserve">of IDR in REF 2021: </w:t>
      </w:r>
    </w:p>
    <w:p w14:paraId="6B5E9550" w14:textId="77777777" w:rsidR="00B70D73" w:rsidRPr="00735035" w:rsidRDefault="00B70D73" w:rsidP="00B70D73">
      <w:pPr>
        <w:spacing w:after="0" w:line="240" w:lineRule="auto"/>
      </w:pPr>
    </w:p>
    <w:p w14:paraId="26930744" w14:textId="489E6C9A" w:rsidR="00B70D73" w:rsidRDefault="00B70D73" w:rsidP="00B70D73">
      <w:pPr>
        <w:pStyle w:val="ListParagraph"/>
        <w:numPr>
          <w:ilvl w:val="0"/>
          <w:numId w:val="24"/>
        </w:numPr>
        <w:spacing w:after="0" w:line="300" w:lineRule="atLeast"/>
        <w:rPr>
          <w:rFonts w:ascii="Arial" w:hAnsi="Arial" w:cs="Arial"/>
        </w:rPr>
      </w:pPr>
      <w:r w:rsidRPr="002047D3">
        <w:rPr>
          <w:rFonts w:ascii="Arial" w:hAnsi="Arial" w:cs="Arial"/>
        </w:rPr>
        <w:t>For the purposes of REF 2021 the panel developed broad-based and inclusive definition</w:t>
      </w:r>
      <w:r w:rsidR="008907F3">
        <w:rPr>
          <w:rFonts w:ascii="Arial" w:hAnsi="Arial" w:cs="Arial"/>
        </w:rPr>
        <w:t>s</w:t>
      </w:r>
      <w:r w:rsidRPr="002047D3">
        <w:rPr>
          <w:rFonts w:ascii="Arial" w:hAnsi="Arial" w:cs="Arial"/>
        </w:rPr>
        <w:t xml:space="preserve"> of IDR encompassing multi, inter and trans disciplinary research, and research arising </w:t>
      </w:r>
      <w:r w:rsidR="00345D8D" w:rsidRPr="002047D3">
        <w:rPr>
          <w:rFonts w:ascii="Arial" w:hAnsi="Arial" w:cs="Arial"/>
        </w:rPr>
        <w:t>outside clear</w:t>
      </w:r>
      <w:r w:rsidRPr="002047D3">
        <w:rPr>
          <w:rFonts w:ascii="Arial" w:hAnsi="Arial" w:cs="Arial"/>
        </w:rPr>
        <w:t xml:space="preserve"> disciplinary foundations.  </w:t>
      </w:r>
    </w:p>
    <w:p w14:paraId="718A7013" w14:textId="6C08F4C3" w:rsidR="00B70D73" w:rsidRPr="002047D3" w:rsidRDefault="00B70D73" w:rsidP="00B70D73">
      <w:pPr>
        <w:pStyle w:val="ListParagraph"/>
        <w:numPr>
          <w:ilvl w:val="0"/>
          <w:numId w:val="24"/>
        </w:numPr>
        <w:spacing w:after="0" w:line="300" w:lineRule="atLeast"/>
        <w:rPr>
          <w:rFonts w:ascii="Arial" w:hAnsi="Arial" w:cs="Arial"/>
        </w:rPr>
      </w:pPr>
      <w:r w:rsidRPr="002047D3">
        <w:rPr>
          <w:rFonts w:ascii="Arial" w:hAnsi="Arial" w:cs="Arial"/>
        </w:rPr>
        <w:t>To ensure that IDR is not</w:t>
      </w:r>
      <w:r w:rsidR="008907F3">
        <w:rPr>
          <w:rFonts w:ascii="Arial" w:hAnsi="Arial" w:cs="Arial"/>
        </w:rPr>
        <w:t xml:space="preserve"> to</w:t>
      </w:r>
      <w:r w:rsidRPr="002047D3">
        <w:rPr>
          <w:rFonts w:ascii="Arial" w:hAnsi="Arial" w:cs="Arial"/>
        </w:rPr>
        <w:t xml:space="preserve"> be seen to be outside of mainstream research, </w:t>
      </w:r>
      <w:r>
        <w:rPr>
          <w:rFonts w:ascii="Arial" w:hAnsi="Arial" w:cs="Arial"/>
        </w:rPr>
        <w:t xml:space="preserve">IDR outputs </w:t>
      </w:r>
      <w:r w:rsidRPr="002047D3">
        <w:rPr>
          <w:rFonts w:ascii="Arial" w:hAnsi="Arial" w:cs="Arial"/>
        </w:rPr>
        <w:t>will be assessed within the existing sub-panel structures, rather than by a separate IDR panel.</w:t>
      </w:r>
    </w:p>
    <w:p w14:paraId="66FA87D4" w14:textId="77777777" w:rsidR="00B70D73" w:rsidRDefault="00B70D73" w:rsidP="00B70D73">
      <w:pPr>
        <w:pStyle w:val="ListParagraph"/>
        <w:numPr>
          <w:ilvl w:val="0"/>
          <w:numId w:val="24"/>
        </w:numPr>
        <w:spacing w:after="0" w:line="300" w:lineRule="atLeast"/>
        <w:rPr>
          <w:rFonts w:ascii="Arial" w:hAnsi="Arial" w:cs="Arial"/>
        </w:rPr>
      </w:pPr>
      <w:r w:rsidRPr="002047D3">
        <w:rPr>
          <w:rFonts w:ascii="Arial" w:hAnsi="Arial" w:cs="Arial"/>
        </w:rPr>
        <w:t xml:space="preserve">To support the work of the sub-panels each will appoint at least two IDR Advisers. </w:t>
      </w:r>
    </w:p>
    <w:p w14:paraId="3439C4D4" w14:textId="77777777" w:rsidR="00B70D73" w:rsidRDefault="00B70D73" w:rsidP="00B70D73">
      <w:pPr>
        <w:pStyle w:val="ListParagraph"/>
        <w:numPr>
          <w:ilvl w:val="0"/>
          <w:numId w:val="24"/>
        </w:numPr>
        <w:spacing w:after="0" w:line="300" w:lineRule="atLeast"/>
        <w:rPr>
          <w:rFonts w:ascii="Arial" w:hAnsi="Arial" w:cs="Arial"/>
        </w:rPr>
      </w:pPr>
      <w:r>
        <w:rPr>
          <w:rFonts w:ascii="Arial" w:hAnsi="Arial" w:cs="Arial"/>
        </w:rPr>
        <w:t>The panel recommended retaining the IDR identifier “flag” from 2014, which will bring research within the purview of the IDR Advisers. Use of this flag will not be made mandatory.</w:t>
      </w:r>
    </w:p>
    <w:p w14:paraId="2740D9AD" w14:textId="2EA2D121" w:rsidR="00B70D73" w:rsidRPr="002047D3" w:rsidRDefault="00B70D73" w:rsidP="00B70D73">
      <w:pPr>
        <w:pStyle w:val="ListParagraph"/>
        <w:numPr>
          <w:ilvl w:val="0"/>
          <w:numId w:val="24"/>
        </w:numPr>
        <w:spacing w:after="0" w:line="300" w:lineRule="atLeast"/>
        <w:rPr>
          <w:rFonts w:ascii="Arial" w:hAnsi="Arial" w:cs="Arial"/>
        </w:rPr>
      </w:pPr>
      <w:r w:rsidRPr="002047D3">
        <w:rPr>
          <w:rFonts w:ascii="Arial" w:hAnsi="Arial" w:cs="Arial"/>
        </w:rPr>
        <w:t>IDR Advisers will not be solely responsible for undertaking all</w:t>
      </w:r>
      <w:r w:rsidR="008907F3">
        <w:rPr>
          <w:rFonts w:ascii="Arial" w:hAnsi="Arial" w:cs="Arial"/>
        </w:rPr>
        <w:t xml:space="preserve"> IDR</w:t>
      </w:r>
      <w:r w:rsidRPr="002047D3">
        <w:rPr>
          <w:rFonts w:ascii="Arial" w:hAnsi="Arial" w:cs="Arial"/>
        </w:rPr>
        <w:t xml:space="preserve"> assessments, but will work with their panel’s executive group to determine the most appropriate assessment route, based on requirements of research submitted.</w:t>
      </w:r>
    </w:p>
    <w:p w14:paraId="7DEB8175" w14:textId="373DB53B" w:rsidR="00B70D73" w:rsidRPr="008314C5" w:rsidRDefault="00B70D73" w:rsidP="00B70D73">
      <w:pPr>
        <w:pStyle w:val="ListParagraph"/>
        <w:numPr>
          <w:ilvl w:val="0"/>
          <w:numId w:val="24"/>
        </w:numPr>
        <w:spacing w:after="0" w:line="300" w:lineRule="atLeast"/>
        <w:rPr>
          <w:rFonts w:ascii="Arial" w:hAnsi="Arial" w:cs="Arial"/>
        </w:rPr>
      </w:pPr>
      <w:r w:rsidRPr="002047D3">
        <w:rPr>
          <w:rFonts w:ascii="Arial" w:hAnsi="Arial" w:cs="Arial"/>
        </w:rPr>
        <w:lastRenderedPageBreak/>
        <w:t>The IDR Advisers will advise and support</w:t>
      </w:r>
      <w:r w:rsidR="008907F3">
        <w:rPr>
          <w:rFonts w:ascii="Arial" w:hAnsi="Arial" w:cs="Arial"/>
        </w:rPr>
        <w:t xml:space="preserve"> all</w:t>
      </w:r>
      <w:r w:rsidRPr="002047D3">
        <w:rPr>
          <w:rFonts w:ascii="Arial" w:hAnsi="Arial" w:cs="Arial"/>
        </w:rPr>
        <w:t xml:space="preserve"> sub-panel members for IDR assessment, and will undertake assessments as relevant to their knowledge, skills and expertise.</w:t>
      </w:r>
    </w:p>
    <w:p w14:paraId="4ED26DDF" w14:textId="77777777" w:rsidR="00B70D73" w:rsidRPr="002047D3" w:rsidRDefault="00B70D73" w:rsidP="00B70D73">
      <w:pPr>
        <w:pStyle w:val="ListParagraph"/>
        <w:numPr>
          <w:ilvl w:val="0"/>
          <w:numId w:val="24"/>
        </w:numPr>
        <w:spacing w:after="0" w:line="300" w:lineRule="atLeast"/>
        <w:rPr>
          <w:rFonts w:ascii="Arial" w:hAnsi="Arial" w:cs="Arial"/>
        </w:rPr>
      </w:pPr>
      <w:r w:rsidRPr="002047D3">
        <w:rPr>
          <w:rFonts w:ascii="Arial" w:hAnsi="Arial" w:cs="Arial"/>
        </w:rPr>
        <w:t>IDR assessment should be undertaken using relevant skills and expertise. IDAP recognise that sub-panels may be constituted of members with a diverse range of knowledge, skills and expertise. Therefore:</w:t>
      </w:r>
    </w:p>
    <w:p w14:paraId="79CDF453" w14:textId="77777777" w:rsidR="00B70D73" w:rsidRPr="002047D3" w:rsidRDefault="00B70D73" w:rsidP="00B70D73">
      <w:pPr>
        <w:pStyle w:val="ListParagraph"/>
        <w:numPr>
          <w:ilvl w:val="1"/>
          <w:numId w:val="24"/>
        </w:numPr>
        <w:spacing w:after="0" w:line="300" w:lineRule="atLeast"/>
        <w:rPr>
          <w:rFonts w:ascii="Arial" w:hAnsi="Arial" w:cs="Arial"/>
        </w:rPr>
      </w:pPr>
      <w:r w:rsidRPr="002047D3">
        <w:rPr>
          <w:rFonts w:ascii="Arial" w:hAnsi="Arial" w:cs="Arial"/>
        </w:rPr>
        <w:t xml:space="preserve">IDR may be assessed within a single sub-panel if relevant skills, experience and knowledge are identified, </w:t>
      </w:r>
    </w:p>
    <w:p w14:paraId="6D231F11" w14:textId="77777777" w:rsidR="00B70D73" w:rsidRPr="002047D3" w:rsidRDefault="00B70D73" w:rsidP="00B70D73">
      <w:pPr>
        <w:pStyle w:val="ListParagraph"/>
        <w:numPr>
          <w:ilvl w:val="1"/>
          <w:numId w:val="24"/>
        </w:numPr>
        <w:spacing w:after="0" w:line="300" w:lineRule="atLeast"/>
        <w:rPr>
          <w:rFonts w:ascii="Arial" w:hAnsi="Arial" w:cs="Arial"/>
        </w:rPr>
      </w:pPr>
      <w:r w:rsidRPr="002047D3">
        <w:rPr>
          <w:rFonts w:ascii="Arial" w:hAnsi="Arial" w:cs="Arial"/>
        </w:rPr>
        <w:t xml:space="preserve">IDR can be subject to joint assessment with other panel(s) within or across main panel groupings as appropriate to the research submitted,  </w:t>
      </w:r>
    </w:p>
    <w:p w14:paraId="776BC662" w14:textId="77777777" w:rsidR="00B70D73" w:rsidRPr="002047D3" w:rsidRDefault="00B70D73" w:rsidP="00B70D73">
      <w:pPr>
        <w:pStyle w:val="ListParagraph"/>
        <w:numPr>
          <w:ilvl w:val="1"/>
          <w:numId w:val="24"/>
        </w:numPr>
        <w:spacing w:after="0" w:line="300" w:lineRule="atLeast"/>
        <w:rPr>
          <w:rFonts w:ascii="Arial" w:hAnsi="Arial" w:cs="Arial"/>
        </w:rPr>
      </w:pPr>
      <w:r w:rsidRPr="002047D3">
        <w:rPr>
          <w:rFonts w:ascii="Arial" w:hAnsi="Arial" w:cs="Arial"/>
        </w:rPr>
        <w:t xml:space="preserve">IDR assessment is distinct from existing cross-referral arrangements, however where appropriate, cross referral may be an option for assessment, </w:t>
      </w:r>
    </w:p>
    <w:p w14:paraId="7CA69D80" w14:textId="77777777" w:rsidR="00B70D73" w:rsidRPr="002047D3" w:rsidRDefault="00B70D73" w:rsidP="00B70D73">
      <w:pPr>
        <w:pStyle w:val="ListParagraph"/>
        <w:numPr>
          <w:ilvl w:val="1"/>
          <w:numId w:val="24"/>
        </w:numPr>
        <w:spacing w:after="0" w:line="300" w:lineRule="atLeast"/>
        <w:rPr>
          <w:rFonts w:ascii="Arial" w:hAnsi="Arial" w:cs="Arial"/>
        </w:rPr>
      </w:pPr>
      <w:r w:rsidRPr="002047D3">
        <w:rPr>
          <w:rFonts w:ascii="Arial" w:hAnsi="Arial" w:cs="Arial"/>
        </w:rPr>
        <w:t>Decisions on final scor</w:t>
      </w:r>
      <w:r>
        <w:rPr>
          <w:rFonts w:ascii="Arial" w:hAnsi="Arial" w:cs="Arial"/>
        </w:rPr>
        <w:t>es</w:t>
      </w:r>
      <w:r w:rsidRPr="002047D3">
        <w:rPr>
          <w:rFonts w:ascii="Arial" w:hAnsi="Arial" w:cs="Arial"/>
        </w:rPr>
        <w:t xml:space="preserve"> remain with the panel to which </w:t>
      </w:r>
      <w:r>
        <w:rPr>
          <w:rFonts w:ascii="Arial" w:hAnsi="Arial" w:cs="Arial"/>
        </w:rPr>
        <w:t xml:space="preserve">the research </w:t>
      </w:r>
      <w:r w:rsidRPr="002047D3">
        <w:rPr>
          <w:rFonts w:ascii="Arial" w:hAnsi="Arial" w:cs="Arial"/>
        </w:rPr>
        <w:t>is submitted.</w:t>
      </w:r>
    </w:p>
    <w:p w14:paraId="1EF53A1A" w14:textId="77777777" w:rsidR="00B70D73" w:rsidRDefault="00B70D73" w:rsidP="00B70D73">
      <w:pPr>
        <w:pStyle w:val="ListParagraph"/>
        <w:numPr>
          <w:ilvl w:val="0"/>
          <w:numId w:val="24"/>
        </w:numPr>
        <w:spacing w:after="0" w:line="300" w:lineRule="atLeast"/>
        <w:rPr>
          <w:rFonts w:ascii="Arial" w:hAnsi="Arial" w:cs="Arial"/>
        </w:rPr>
      </w:pPr>
      <w:r w:rsidRPr="002047D3">
        <w:rPr>
          <w:rFonts w:ascii="Arial" w:hAnsi="Arial" w:cs="Arial"/>
        </w:rPr>
        <w:t>IDR remains subject to the same generic criteria of significance, originality and rigour as other research. IDAP provided guidance on application of the existing criteria to IDR rather than recommend additional or alternative criteria.</w:t>
      </w:r>
    </w:p>
    <w:p w14:paraId="5FD7345B" w14:textId="2AD0F8FC" w:rsidR="003F1287" w:rsidRDefault="00B70D73" w:rsidP="00B70D73">
      <w:pPr>
        <w:pStyle w:val="ListParagraph"/>
        <w:numPr>
          <w:ilvl w:val="0"/>
          <w:numId w:val="24"/>
        </w:numPr>
        <w:spacing w:after="0" w:line="300" w:lineRule="atLeast"/>
        <w:rPr>
          <w:rFonts w:ascii="Arial" w:hAnsi="Arial" w:cs="Arial"/>
        </w:rPr>
      </w:pPr>
      <w:r>
        <w:rPr>
          <w:rFonts w:ascii="Arial" w:hAnsi="Arial" w:cs="Arial"/>
        </w:rPr>
        <w:t>The panel may identify</w:t>
      </w:r>
      <w:r w:rsidR="003F1287">
        <w:rPr>
          <w:rFonts w:ascii="Arial" w:hAnsi="Arial" w:cs="Arial"/>
        </w:rPr>
        <w:t xml:space="preserve"> either at allocation or during assessment:</w:t>
      </w:r>
    </w:p>
    <w:p w14:paraId="3C34155F" w14:textId="77777777" w:rsidR="003F1287" w:rsidRDefault="00B70D73" w:rsidP="003F1287">
      <w:pPr>
        <w:pStyle w:val="ListParagraph"/>
        <w:numPr>
          <w:ilvl w:val="1"/>
          <w:numId w:val="24"/>
        </w:numPr>
        <w:spacing w:after="0" w:line="300" w:lineRule="atLeast"/>
        <w:rPr>
          <w:rFonts w:ascii="Arial" w:hAnsi="Arial" w:cs="Arial"/>
        </w:rPr>
      </w:pPr>
      <w:r>
        <w:rPr>
          <w:rFonts w:ascii="Arial" w:hAnsi="Arial" w:cs="Arial"/>
        </w:rPr>
        <w:t>if an output has been flagged as IDR but does not meet the agreed definition, or</w:t>
      </w:r>
    </w:p>
    <w:p w14:paraId="1C8D956A" w14:textId="179C62D0" w:rsidR="003F1287" w:rsidRDefault="00B70D73" w:rsidP="003F1287">
      <w:pPr>
        <w:pStyle w:val="ListParagraph"/>
        <w:numPr>
          <w:ilvl w:val="1"/>
          <w:numId w:val="24"/>
        </w:numPr>
        <w:spacing w:after="0" w:line="300" w:lineRule="atLeast"/>
        <w:rPr>
          <w:rFonts w:ascii="Arial" w:hAnsi="Arial" w:cs="Arial"/>
        </w:rPr>
      </w:pPr>
      <w:r>
        <w:rPr>
          <w:rFonts w:ascii="Arial" w:hAnsi="Arial" w:cs="Arial"/>
        </w:rPr>
        <w:t xml:space="preserve">if an output does </w:t>
      </w:r>
      <w:r w:rsidR="003F1287">
        <w:rPr>
          <w:rFonts w:ascii="Arial" w:hAnsi="Arial" w:cs="Arial"/>
        </w:rPr>
        <w:t>meet the definition but is not flagged,</w:t>
      </w:r>
    </w:p>
    <w:p w14:paraId="40C2C200" w14:textId="4A80F4A9" w:rsidR="00B70D73" w:rsidRPr="008314C5" w:rsidRDefault="001034EC" w:rsidP="003F1287">
      <w:pPr>
        <w:pStyle w:val="ListParagraph"/>
        <w:numPr>
          <w:ilvl w:val="1"/>
          <w:numId w:val="24"/>
        </w:numPr>
        <w:spacing w:after="0" w:line="300" w:lineRule="atLeast"/>
        <w:rPr>
          <w:rFonts w:ascii="Arial" w:hAnsi="Arial" w:cs="Arial"/>
        </w:rPr>
      </w:pPr>
      <w:r>
        <w:rPr>
          <w:rFonts w:ascii="Arial" w:hAnsi="Arial" w:cs="Arial"/>
        </w:rPr>
        <w:t xml:space="preserve">Where this is the case the panel may amend an output’s </w:t>
      </w:r>
      <w:r w:rsidR="003F1287">
        <w:rPr>
          <w:rFonts w:ascii="Arial" w:hAnsi="Arial" w:cs="Arial"/>
        </w:rPr>
        <w:t>status accordingly to ensure the most appropriate assessment route. T</w:t>
      </w:r>
      <w:r w:rsidR="00B70D73">
        <w:rPr>
          <w:rFonts w:ascii="Arial" w:hAnsi="Arial" w:cs="Arial"/>
        </w:rPr>
        <w:t xml:space="preserve">here will be no disadvantage </w:t>
      </w:r>
      <w:r>
        <w:rPr>
          <w:rFonts w:ascii="Arial" w:hAnsi="Arial" w:cs="Arial"/>
        </w:rPr>
        <w:t xml:space="preserve">resulting </w:t>
      </w:r>
      <w:r w:rsidR="00B70D73">
        <w:rPr>
          <w:rFonts w:ascii="Arial" w:hAnsi="Arial" w:cs="Arial"/>
        </w:rPr>
        <w:t xml:space="preserve">and no penalties to the submitting institution. </w:t>
      </w:r>
    </w:p>
    <w:p w14:paraId="0A994994" w14:textId="77777777" w:rsidR="00B70D73" w:rsidRPr="002047D3" w:rsidRDefault="00B70D73" w:rsidP="00B70D73">
      <w:pPr>
        <w:pStyle w:val="ListParagraph"/>
        <w:numPr>
          <w:ilvl w:val="0"/>
          <w:numId w:val="24"/>
        </w:numPr>
        <w:spacing w:after="0" w:line="300" w:lineRule="atLeast"/>
        <w:rPr>
          <w:rFonts w:ascii="Arial" w:hAnsi="Arial" w:cs="Arial"/>
        </w:rPr>
      </w:pPr>
      <w:r w:rsidRPr="002047D3">
        <w:rPr>
          <w:rFonts w:ascii="Arial" w:hAnsi="Arial" w:cs="Arial"/>
        </w:rPr>
        <w:t>The IDR work of sub-panels will be overseen by main panel IDR members. These IDR members will be members of IDAP.</w:t>
      </w:r>
    </w:p>
    <w:p w14:paraId="35A8627F" w14:textId="77777777" w:rsidR="00B70D73" w:rsidRPr="002047D3" w:rsidRDefault="00B70D73" w:rsidP="00B70D73">
      <w:pPr>
        <w:pStyle w:val="ListParagraph"/>
        <w:numPr>
          <w:ilvl w:val="0"/>
          <w:numId w:val="24"/>
        </w:numPr>
        <w:spacing w:after="0" w:line="300" w:lineRule="atLeast"/>
        <w:rPr>
          <w:rFonts w:ascii="Arial" w:hAnsi="Arial" w:cs="Arial"/>
        </w:rPr>
      </w:pPr>
      <w:r w:rsidRPr="002047D3">
        <w:rPr>
          <w:rFonts w:ascii="Arial" w:hAnsi="Arial" w:cs="Arial"/>
        </w:rPr>
        <w:t>IDAP will provide oversight, monitoring and advice on application of IDR guidance, however IDAP will not be directly involved with assessments. IDAP will lead on evaluation of IDR following the conclusion of REF 2021 assessment.</w:t>
      </w:r>
    </w:p>
    <w:p w14:paraId="17D770AA" w14:textId="484566B4" w:rsidR="00B70D73" w:rsidRPr="002047D3" w:rsidRDefault="00B70D73" w:rsidP="00B70D73">
      <w:pPr>
        <w:pStyle w:val="ListParagraph"/>
        <w:numPr>
          <w:ilvl w:val="0"/>
          <w:numId w:val="24"/>
        </w:numPr>
        <w:spacing w:after="0" w:line="300" w:lineRule="atLeast"/>
        <w:rPr>
          <w:rFonts w:ascii="Arial" w:hAnsi="Arial" w:cs="Arial"/>
        </w:rPr>
      </w:pPr>
      <w:r w:rsidRPr="002047D3">
        <w:rPr>
          <w:rFonts w:ascii="Arial" w:hAnsi="Arial" w:cs="Arial"/>
        </w:rPr>
        <w:t xml:space="preserve">IDAP recommended formation of a cross panel IDR Network to share </w:t>
      </w:r>
      <w:r w:rsidR="008907F3">
        <w:rPr>
          <w:rFonts w:ascii="Arial" w:hAnsi="Arial" w:cs="Arial"/>
        </w:rPr>
        <w:t xml:space="preserve">best </w:t>
      </w:r>
      <w:r w:rsidRPr="002047D3">
        <w:rPr>
          <w:rFonts w:ascii="Arial" w:hAnsi="Arial" w:cs="Arial"/>
        </w:rPr>
        <w:t>practice</w:t>
      </w:r>
      <w:r w:rsidR="008907F3">
        <w:rPr>
          <w:rFonts w:ascii="Arial" w:hAnsi="Arial" w:cs="Arial"/>
        </w:rPr>
        <w:t>,</w:t>
      </w:r>
      <w:r w:rsidRPr="002047D3">
        <w:rPr>
          <w:rFonts w:ascii="Arial" w:hAnsi="Arial" w:cs="Arial"/>
        </w:rPr>
        <w:t xml:space="preserve"> provide support and  facilitate inter</w:t>
      </w:r>
      <w:r w:rsidR="008907F3">
        <w:rPr>
          <w:rFonts w:ascii="Arial" w:hAnsi="Arial" w:cs="Arial"/>
        </w:rPr>
        <w:t>-</w:t>
      </w:r>
      <w:r w:rsidRPr="002047D3">
        <w:rPr>
          <w:rFonts w:ascii="Arial" w:hAnsi="Arial" w:cs="Arial"/>
        </w:rPr>
        <w:t>panel working – this will include IDAP, main panel IDR members and sub-panel IDR advisers.</w:t>
      </w:r>
    </w:p>
    <w:p w14:paraId="3F09EB05" w14:textId="77777777" w:rsidR="00B70D73" w:rsidRPr="002047D3" w:rsidRDefault="00B70D73" w:rsidP="00B70D73">
      <w:pPr>
        <w:pStyle w:val="ListParagraph"/>
        <w:numPr>
          <w:ilvl w:val="0"/>
          <w:numId w:val="24"/>
        </w:numPr>
        <w:spacing w:after="0" w:line="300" w:lineRule="atLeast"/>
        <w:rPr>
          <w:rFonts w:ascii="Arial" w:hAnsi="Arial" w:cs="Arial"/>
        </w:rPr>
      </w:pPr>
      <w:r w:rsidRPr="002047D3">
        <w:rPr>
          <w:rFonts w:ascii="Arial" w:hAnsi="Arial" w:cs="Arial"/>
        </w:rPr>
        <w:t>The IDR Network will produce a briefing and induction for new IDR Advisers and other main and sub-panel members in advance of panels reconvening prior to the assessment phase of REF 2021.</w:t>
      </w:r>
    </w:p>
    <w:p w14:paraId="7A8A00AB" w14:textId="77777777" w:rsidR="00B70D73" w:rsidRDefault="00B70D73" w:rsidP="00B70D73">
      <w:pPr>
        <w:spacing w:after="0" w:line="240" w:lineRule="auto"/>
      </w:pPr>
    </w:p>
    <w:p w14:paraId="1C9F76AE" w14:textId="3017BC52" w:rsidR="000323C1" w:rsidRPr="00C57F29" w:rsidRDefault="000323C1" w:rsidP="0034062C">
      <w:pPr>
        <w:pStyle w:val="Heading2"/>
        <w:rPr>
          <w:rFonts w:ascii="Arial" w:hAnsi="Arial" w:cs="Arial"/>
          <w:b/>
          <w:color w:val="auto"/>
          <w:sz w:val="21"/>
          <w:szCs w:val="21"/>
        </w:rPr>
      </w:pPr>
      <w:bookmarkStart w:id="3" w:name="_Toc3200565"/>
      <w:r w:rsidRPr="00C57F29">
        <w:rPr>
          <w:rFonts w:ascii="Arial" w:hAnsi="Arial" w:cs="Arial"/>
          <w:b/>
          <w:color w:val="auto"/>
          <w:sz w:val="21"/>
          <w:szCs w:val="21"/>
        </w:rPr>
        <w:t>Summary of recommendations</w:t>
      </w:r>
      <w:bookmarkEnd w:id="3"/>
    </w:p>
    <w:p w14:paraId="6B865CB5" w14:textId="77777777" w:rsidR="000323C1" w:rsidRPr="003C0AF7" w:rsidRDefault="000323C1" w:rsidP="00B70D73">
      <w:pPr>
        <w:spacing w:after="0" w:line="240" w:lineRule="auto"/>
      </w:pPr>
    </w:p>
    <w:p w14:paraId="15ABB478" w14:textId="2981EF51" w:rsidR="00C10FCA" w:rsidRDefault="00C10FCA" w:rsidP="00C10FCA">
      <w:pPr>
        <w:spacing w:line="300" w:lineRule="atLeast"/>
        <w:rPr>
          <w:rFonts w:ascii="Arial" w:hAnsi="Arial" w:cs="Arial"/>
        </w:rPr>
      </w:pPr>
      <w:r>
        <w:rPr>
          <w:rFonts w:ascii="Arial" w:hAnsi="Arial" w:cs="Arial"/>
        </w:rPr>
        <w:t>IDAP will produce a final report following the end of the assessment phase, having undertaken evaluation of IDR assessment in REF 2021, and making final recommendations for future IDR research assessment. In reflecting on its work throughout the criteria development phase, the panel identified the following areas for which it made interim recommendations</w:t>
      </w:r>
      <w:r w:rsidR="008907F3">
        <w:rPr>
          <w:rFonts w:ascii="Arial" w:hAnsi="Arial" w:cs="Arial"/>
        </w:rPr>
        <w:t xml:space="preserve"> for the future</w:t>
      </w:r>
      <w:r w:rsidR="009974E2">
        <w:rPr>
          <w:rFonts w:ascii="Arial" w:hAnsi="Arial" w:cs="Arial"/>
        </w:rPr>
        <w:t>:</w:t>
      </w:r>
      <w:r>
        <w:rPr>
          <w:rFonts w:ascii="Arial" w:hAnsi="Arial" w:cs="Arial"/>
        </w:rPr>
        <w:t xml:space="preserve"> </w:t>
      </w:r>
    </w:p>
    <w:p w14:paraId="28B1F274" w14:textId="77777777" w:rsidR="006D3A85" w:rsidRDefault="006D3A85" w:rsidP="006D3A85">
      <w:pPr>
        <w:pStyle w:val="ListParagraph"/>
        <w:numPr>
          <w:ilvl w:val="0"/>
          <w:numId w:val="30"/>
        </w:numPr>
        <w:spacing w:after="0" w:line="300" w:lineRule="atLeast"/>
        <w:rPr>
          <w:rFonts w:ascii="Arial" w:hAnsi="Arial" w:cs="Arial"/>
        </w:rPr>
      </w:pPr>
      <w:r>
        <w:rPr>
          <w:rFonts w:ascii="Arial" w:hAnsi="Arial" w:cs="Arial"/>
        </w:rPr>
        <w:t>Earlier appointment of IDR advisory panel, for input into consultation and initial decisions</w:t>
      </w:r>
    </w:p>
    <w:p w14:paraId="4DAF0CA7" w14:textId="77777777" w:rsidR="006D3A85" w:rsidRDefault="006D3A85" w:rsidP="006D3A85">
      <w:pPr>
        <w:pStyle w:val="ListParagraph"/>
        <w:numPr>
          <w:ilvl w:val="0"/>
          <w:numId w:val="30"/>
        </w:numPr>
        <w:spacing w:after="0" w:line="300" w:lineRule="atLeast"/>
        <w:rPr>
          <w:rFonts w:ascii="Arial" w:hAnsi="Arial" w:cs="Arial"/>
        </w:rPr>
      </w:pPr>
      <w:r>
        <w:rPr>
          <w:rFonts w:ascii="Arial" w:hAnsi="Arial" w:cs="Arial"/>
        </w:rPr>
        <w:t>Earlier engagement with main panel chairs following appointment. This will allow a period for building a common agreement of goals before the main and sub-panels start work on criteria development</w:t>
      </w:r>
    </w:p>
    <w:p w14:paraId="4F854B91" w14:textId="6067784E" w:rsidR="006D3A85" w:rsidRDefault="006D3A85" w:rsidP="006D3A85">
      <w:pPr>
        <w:pStyle w:val="ListParagraph"/>
        <w:numPr>
          <w:ilvl w:val="0"/>
          <w:numId w:val="30"/>
        </w:numPr>
        <w:spacing w:after="0" w:line="300" w:lineRule="atLeast"/>
        <w:rPr>
          <w:rFonts w:ascii="Arial" w:hAnsi="Arial" w:cs="Arial"/>
        </w:rPr>
      </w:pPr>
      <w:r>
        <w:rPr>
          <w:rFonts w:ascii="Arial" w:hAnsi="Arial" w:cs="Arial"/>
        </w:rPr>
        <w:t>Briefing/induction process for IDR advisers and main panel members, to inform background, expectations and opportunities for input and involvement</w:t>
      </w:r>
    </w:p>
    <w:p w14:paraId="47B0DEE7" w14:textId="77777777" w:rsidR="006D3A85" w:rsidRDefault="006D3A85" w:rsidP="006D3A85">
      <w:pPr>
        <w:pStyle w:val="ListParagraph"/>
        <w:numPr>
          <w:ilvl w:val="0"/>
          <w:numId w:val="30"/>
        </w:numPr>
        <w:spacing w:after="0" w:line="300" w:lineRule="atLeast"/>
        <w:rPr>
          <w:rFonts w:ascii="Arial" w:hAnsi="Arial" w:cs="Arial"/>
        </w:rPr>
      </w:pPr>
      <w:r>
        <w:rPr>
          <w:rFonts w:ascii="Arial" w:hAnsi="Arial" w:cs="Arial"/>
        </w:rPr>
        <w:t>Direct engagement with sub-panel members at an early stage in criteria development, to enable an open dialogue with panel representatives to test and inform assessment principles</w:t>
      </w:r>
    </w:p>
    <w:p w14:paraId="67642CF7" w14:textId="77777777" w:rsidR="006D3A85" w:rsidRDefault="006D3A85" w:rsidP="006D3A85">
      <w:pPr>
        <w:pStyle w:val="ListParagraph"/>
        <w:numPr>
          <w:ilvl w:val="0"/>
          <w:numId w:val="30"/>
        </w:numPr>
        <w:spacing w:after="0" w:line="300" w:lineRule="atLeast"/>
        <w:rPr>
          <w:rFonts w:ascii="Arial" w:hAnsi="Arial" w:cs="Arial"/>
        </w:rPr>
      </w:pPr>
      <w:r>
        <w:rPr>
          <w:rFonts w:ascii="Arial" w:hAnsi="Arial" w:cs="Arial"/>
        </w:rPr>
        <w:t>Ongoing engagement with panel members throughout criteria development, including meetings of the IDR network as forum for dialogue and information sharing.</w:t>
      </w:r>
      <w:r>
        <w:rPr>
          <w:lang w:val="en-GB"/>
        </w:rPr>
        <w:t xml:space="preserve"> </w:t>
      </w:r>
    </w:p>
    <w:p w14:paraId="36806690" w14:textId="77777777" w:rsidR="00B70D73" w:rsidRPr="00AA1EB0" w:rsidRDefault="00B70D73">
      <w:pPr>
        <w:spacing w:after="0" w:line="300" w:lineRule="atLeast"/>
        <w:rPr>
          <w:rFonts w:ascii="Arial" w:hAnsi="Arial" w:cs="Arial"/>
          <w:b/>
        </w:rPr>
      </w:pPr>
    </w:p>
    <w:p w14:paraId="2A37857D" w14:textId="77777777" w:rsidR="000323C1" w:rsidRDefault="000323C1">
      <w:pPr>
        <w:rPr>
          <w:rFonts w:ascii="Arial" w:hAnsi="Arial" w:cs="Arial"/>
          <w:b/>
          <w:sz w:val="24"/>
        </w:rPr>
      </w:pPr>
      <w:r>
        <w:rPr>
          <w:rFonts w:ascii="Arial" w:hAnsi="Arial" w:cs="Arial"/>
          <w:b/>
          <w:sz w:val="24"/>
        </w:rPr>
        <w:br w:type="page"/>
      </w:r>
    </w:p>
    <w:p w14:paraId="71F15BA3" w14:textId="3077D732" w:rsidR="00626B80" w:rsidRPr="00C57F29" w:rsidRDefault="00345D8D" w:rsidP="0034062C">
      <w:pPr>
        <w:pStyle w:val="Heading1"/>
        <w:rPr>
          <w:rFonts w:ascii="Arial" w:hAnsi="Arial" w:cs="Arial"/>
          <w:color w:val="auto"/>
          <w:sz w:val="21"/>
          <w:szCs w:val="21"/>
        </w:rPr>
      </w:pPr>
      <w:bookmarkStart w:id="4" w:name="_Toc3200566"/>
      <w:r w:rsidRPr="00C57F29">
        <w:rPr>
          <w:rFonts w:ascii="Arial" w:hAnsi="Arial" w:cs="Arial"/>
          <w:b/>
          <w:color w:val="auto"/>
          <w:sz w:val="24"/>
          <w:szCs w:val="21"/>
        </w:rPr>
        <w:t xml:space="preserve">Foreword </w:t>
      </w:r>
      <w:r w:rsidR="00277A57">
        <w:rPr>
          <w:rFonts w:ascii="Arial" w:hAnsi="Arial" w:cs="Arial"/>
          <w:b/>
          <w:color w:val="auto"/>
          <w:sz w:val="24"/>
          <w:szCs w:val="21"/>
        </w:rPr>
        <w:t>by</w:t>
      </w:r>
      <w:r w:rsidR="000323C1" w:rsidRPr="00C57F29">
        <w:rPr>
          <w:rFonts w:ascii="Arial" w:hAnsi="Arial" w:cs="Arial"/>
          <w:b/>
          <w:color w:val="auto"/>
          <w:sz w:val="24"/>
          <w:szCs w:val="21"/>
        </w:rPr>
        <w:t xml:space="preserve"> </w:t>
      </w:r>
      <w:r w:rsidRPr="00C57F29">
        <w:rPr>
          <w:rFonts w:ascii="Arial" w:hAnsi="Arial" w:cs="Arial"/>
          <w:b/>
          <w:color w:val="auto"/>
          <w:sz w:val="24"/>
          <w:szCs w:val="21"/>
        </w:rPr>
        <w:t>the panel chair</w:t>
      </w:r>
      <w:bookmarkEnd w:id="4"/>
      <w:r w:rsidRPr="00C57F29">
        <w:rPr>
          <w:rFonts w:ascii="Arial" w:hAnsi="Arial" w:cs="Arial"/>
          <w:b/>
          <w:color w:val="auto"/>
          <w:sz w:val="24"/>
          <w:szCs w:val="21"/>
        </w:rPr>
        <w:t xml:space="preserve"> </w:t>
      </w:r>
    </w:p>
    <w:p w14:paraId="0698AE46" w14:textId="77777777" w:rsidR="00872E77" w:rsidRDefault="00872E77" w:rsidP="007B29A2">
      <w:pPr>
        <w:spacing w:after="0" w:line="300" w:lineRule="atLeast"/>
        <w:rPr>
          <w:rFonts w:ascii="Arial" w:hAnsi="Arial" w:cs="Arial"/>
        </w:rPr>
      </w:pPr>
      <w:r w:rsidRPr="007B29A2">
        <w:rPr>
          <w:rFonts w:ascii="Arial" w:hAnsi="Arial" w:cs="Arial"/>
        </w:rPr>
        <w:t>Being a researcher who has worked for years at the interface between established disciplines, facing up to all the problems that such work faces to be judged ‘equally’, when I was asked if I was willing to chair REF2021’s Interdisciplinary Advisory Panel, I did not feel it was an invitation I could refuse. Nevertheless I recognized the magnitude of the task. To ensure that the panel’s recommendations addressed the anxieties that individual researchers and their institutions felt during REF2014 and, by extension, would feel again as REF2021 loomed if nothing were done, we knew we had to think radically. Of course the Stern Review had given us some pointers and the response to the consultation on the Review gave us some more.</w:t>
      </w:r>
    </w:p>
    <w:p w14:paraId="700377B4" w14:textId="77777777" w:rsidR="007B29A2" w:rsidRPr="007B29A2" w:rsidRDefault="007B29A2" w:rsidP="007B29A2">
      <w:pPr>
        <w:spacing w:after="0" w:line="300" w:lineRule="atLeast"/>
        <w:rPr>
          <w:rFonts w:ascii="Arial" w:hAnsi="Arial" w:cs="Arial"/>
        </w:rPr>
      </w:pPr>
    </w:p>
    <w:p w14:paraId="2A626D47" w14:textId="77777777" w:rsidR="00872E77" w:rsidRDefault="00872E77" w:rsidP="007B29A2">
      <w:pPr>
        <w:spacing w:after="0" w:line="300" w:lineRule="atLeast"/>
        <w:rPr>
          <w:rFonts w:ascii="Arial" w:hAnsi="Arial" w:cs="Arial"/>
        </w:rPr>
      </w:pPr>
      <w:r w:rsidRPr="007B29A2">
        <w:rPr>
          <w:rFonts w:ascii="Arial" w:hAnsi="Arial" w:cs="Arial"/>
        </w:rPr>
        <w:t>So, we set to work and, over the past 18 months, have striven to come up with some recommendations that will reassure the community at large that interdisciplinarity will be treated equitably, alongside all other kinds of research, when it comes to evaluation in REF 2021. Inevitably, not all our recommendations were accepted by the Main Panel Chairs and the REF Steering Group. Nevertheless I believe that the end point we have reached should give confidence to all researchers that interdisciplinarity will be neither favoured nor disfavoured as the sub-panels do their work.  Such fundamental confidence I regard as vital if our work is to be regarded as a success.</w:t>
      </w:r>
    </w:p>
    <w:p w14:paraId="501434F8" w14:textId="77777777" w:rsidR="007B29A2" w:rsidRPr="007B29A2" w:rsidRDefault="007B29A2" w:rsidP="007B29A2">
      <w:pPr>
        <w:spacing w:after="0" w:line="300" w:lineRule="atLeast"/>
        <w:rPr>
          <w:rFonts w:ascii="Arial" w:hAnsi="Arial" w:cs="Arial"/>
        </w:rPr>
      </w:pPr>
    </w:p>
    <w:p w14:paraId="1D06F8F6" w14:textId="77777777" w:rsidR="00872E77" w:rsidRDefault="00872E77" w:rsidP="007B29A2">
      <w:pPr>
        <w:spacing w:after="0" w:line="300" w:lineRule="atLeast"/>
        <w:rPr>
          <w:rFonts w:ascii="Arial" w:hAnsi="Arial" w:cs="Arial"/>
        </w:rPr>
      </w:pPr>
      <w:r w:rsidRPr="007B29A2">
        <w:rPr>
          <w:rFonts w:ascii="Arial" w:hAnsi="Arial" w:cs="Arial"/>
        </w:rPr>
        <w:t xml:space="preserve">The main issues obviously arise around outputs. Interdisciplinarity underpinning impact case studies everyone seemed to feel had provoked no issues last time around and there seemed no concern that anything would be different this time. The environment statement offers scope for interdisciplinarity to be discussed but there is no metric associated with it to raise concerns. We set out to come up with a clear definition of what interdisciplinary (ID) research was – and wasn’t – and how it might be distinguished from the established route of cross-referral.  To define ID research so that it satisfies all possible manifestations is no mean feat, but I hope we have come to a conclusion with which people will be content. </w:t>
      </w:r>
    </w:p>
    <w:p w14:paraId="3240DC3F" w14:textId="77777777" w:rsidR="007B29A2" w:rsidRPr="007B29A2" w:rsidRDefault="007B29A2" w:rsidP="007B29A2">
      <w:pPr>
        <w:spacing w:after="0" w:line="300" w:lineRule="atLeast"/>
        <w:rPr>
          <w:rFonts w:ascii="Arial" w:hAnsi="Arial" w:cs="Arial"/>
        </w:rPr>
      </w:pPr>
    </w:p>
    <w:p w14:paraId="2F89C9BD" w14:textId="77777777" w:rsidR="00872E77" w:rsidRPr="007B29A2" w:rsidRDefault="00872E77" w:rsidP="007B29A2">
      <w:pPr>
        <w:spacing w:after="0" w:line="300" w:lineRule="atLeast"/>
        <w:rPr>
          <w:rFonts w:ascii="Arial" w:hAnsi="Arial" w:cs="Arial"/>
        </w:rPr>
      </w:pPr>
      <w:r w:rsidRPr="007B29A2">
        <w:rPr>
          <w:rFonts w:ascii="Arial" w:hAnsi="Arial" w:cs="Arial"/>
        </w:rPr>
        <w:t xml:space="preserve">The second strand of our work related to how the actual assessment should be carried out. Stern recommended ‘champions’ but we felt that conveyed the wrong message: ID work should not need championing by individuals so much as judged fairly. We have therefore recommended that each Main Panel should have at least one member with ID experience, and each sub-panel two people identified as ID Advisors. To support these people in their work a network of all of them, with whom IDAP will interact as their work unfolds, has been created. As issues arise, as uncertainty about procedures and normalisation may occur, this group will provide a forum for discussion and support. </w:t>
      </w:r>
    </w:p>
    <w:p w14:paraId="5063010E" w14:textId="77777777" w:rsidR="00B02396" w:rsidRDefault="00B02396" w:rsidP="007B29A2">
      <w:pPr>
        <w:spacing w:after="0" w:line="300" w:lineRule="atLeast"/>
        <w:rPr>
          <w:rFonts w:ascii="Arial" w:hAnsi="Arial" w:cs="Arial"/>
        </w:rPr>
      </w:pPr>
    </w:p>
    <w:p w14:paraId="79CEBB1C" w14:textId="5700FA15" w:rsidR="007D66D8" w:rsidRPr="009974E2" w:rsidRDefault="00B02396" w:rsidP="007B29A2">
      <w:pPr>
        <w:spacing w:after="0" w:line="300" w:lineRule="atLeast"/>
        <w:rPr>
          <w:rFonts w:ascii="Arial" w:hAnsi="Arial" w:cs="Arial"/>
          <w:b/>
        </w:rPr>
      </w:pPr>
      <w:r>
        <w:rPr>
          <w:rFonts w:ascii="Arial" w:hAnsi="Arial" w:cs="Arial"/>
        </w:rPr>
        <w:t>It is probably not possible to anticipate</w:t>
      </w:r>
      <w:r w:rsidRPr="007B29A2">
        <w:rPr>
          <w:rFonts w:ascii="Arial" w:hAnsi="Arial" w:cs="Arial"/>
        </w:rPr>
        <w:t xml:space="preserve"> all </w:t>
      </w:r>
      <w:r>
        <w:rPr>
          <w:rFonts w:ascii="Arial" w:hAnsi="Arial" w:cs="Arial"/>
        </w:rPr>
        <w:t xml:space="preserve">of </w:t>
      </w:r>
      <w:r w:rsidR="00872E77" w:rsidRPr="007B29A2">
        <w:rPr>
          <w:rFonts w:ascii="Arial" w:hAnsi="Arial" w:cs="Arial"/>
        </w:rPr>
        <w:t xml:space="preserve">the wrinkles that interdisciplinary research may introduce into the REF process. However I hope the major uncertainties that were clearly present in REF2014 have been addressed. I would like to take this opportunity to thank all the IDAP members who have worked with me to reach this point. When I set out I felt this was a daunting task for a group of strangers to pull together. I was delighted by the collegiality with which we all worked and the good humour manifest as we strove to find a unified set of </w:t>
      </w:r>
      <w:r w:rsidR="00872E77" w:rsidRPr="009974E2">
        <w:rPr>
          <w:rFonts w:ascii="Arial" w:hAnsi="Arial" w:cs="Arial"/>
        </w:rPr>
        <w:t>recommendations</w:t>
      </w:r>
      <w:r w:rsidRPr="009974E2">
        <w:rPr>
          <w:rFonts w:ascii="Arial" w:hAnsi="Arial" w:cs="Arial"/>
        </w:rPr>
        <w:t>, work which was  also aided by considerable input and support from the wider academic community</w:t>
      </w:r>
      <w:r w:rsidR="009974E2" w:rsidRPr="009974E2">
        <w:rPr>
          <w:rFonts w:ascii="Arial" w:hAnsi="Arial" w:cs="Arial"/>
        </w:rPr>
        <w:t>.</w:t>
      </w:r>
      <w:r w:rsidRPr="009974E2" w:rsidDel="00B02396">
        <w:rPr>
          <w:rFonts w:ascii="Arial" w:hAnsi="Arial" w:cs="Arial"/>
        </w:rPr>
        <w:t xml:space="preserve"> </w:t>
      </w:r>
    </w:p>
    <w:p w14:paraId="45E17F9D" w14:textId="77777777" w:rsidR="00345D8D" w:rsidRPr="009974E2" w:rsidRDefault="00345D8D">
      <w:pPr>
        <w:rPr>
          <w:rFonts w:ascii="Arial" w:hAnsi="Arial" w:cs="Arial"/>
          <w:b/>
          <w:sz w:val="24"/>
        </w:rPr>
      </w:pPr>
      <w:r w:rsidRPr="009974E2">
        <w:rPr>
          <w:rFonts w:ascii="Arial" w:hAnsi="Arial" w:cs="Arial"/>
          <w:b/>
          <w:sz w:val="24"/>
        </w:rPr>
        <w:br w:type="page"/>
      </w:r>
    </w:p>
    <w:p w14:paraId="2DE7A469" w14:textId="632FDF4F" w:rsidR="00626B80" w:rsidRPr="00C57F29" w:rsidRDefault="00626B80" w:rsidP="0034062C">
      <w:pPr>
        <w:pStyle w:val="Heading1"/>
        <w:rPr>
          <w:rFonts w:ascii="Arial" w:hAnsi="Arial" w:cs="Arial"/>
          <w:color w:val="auto"/>
          <w:sz w:val="24"/>
          <w:szCs w:val="21"/>
        </w:rPr>
      </w:pPr>
      <w:bookmarkStart w:id="5" w:name="_Toc3200567"/>
      <w:r w:rsidRPr="00C57F29">
        <w:rPr>
          <w:rFonts w:ascii="Arial" w:hAnsi="Arial" w:cs="Arial"/>
          <w:b/>
          <w:color w:val="auto"/>
          <w:sz w:val="24"/>
          <w:szCs w:val="21"/>
        </w:rPr>
        <w:t>Introduction</w:t>
      </w:r>
      <w:bookmarkEnd w:id="5"/>
      <w:r w:rsidRPr="00C57F29">
        <w:rPr>
          <w:rFonts w:ascii="Arial" w:hAnsi="Arial" w:cs="Arial"/>
          <w:color w:val="auto"/>
          <w:sz w:val="24"/>
          <w:szCs w:val="21"/>
        </w:rPr>
        <w:t xml:space="preserve"> </w:t>
      </w:r>
    </w:p>
    <w:p w14:paraId="19C6C6D7" w14:textId="7C430884" w:rsidR="00D3197D" w:rsidRPr="00AA1EB0" w:rsidRDefault="00D3197D" w:rsidP="003A3BEE">
      <w:pPr>
        <w:numPr>
          <w:ilvl w:val="0"/>
          <w:numId w:val="2"/>
        </w:numPr>
        <w:spacing w:after="0" w:line="300" w:lineRule="atLeast"/>
        <w:ind w:left="0" w:firstLine="0"/>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 xml:space="preserve">This report summarises the work undertaken by the Interdisciplinary Research Advisory Panel (IDAP) in the lead up to and throughout the criteria development phase of REF 2021 which took place </w:t>
      </w:r>
      <w:r w:rsidR="00AF0658" w:rsidRPr="00AA1EB0">
        <w:rPr>
          <w:rFonts w:ascii="Arial" w:eastAsia="Times New Roman" w:hAnsi="Arial" w:cs="Arial"/>
          <w:color w:val="000000" w:themeColor="text1"/>
          <w:lang w:eastAsia="en-GB"/>
        </w:rPr>
        <w:t xml:space="preserve">between </w:t>
      </w:r>
      <w:r w:rsidRPr="00AA1EB0">
        <w:rPr>
          <w:rFonts w:ascii="Arial" w:eastAsia="Times New Roman" w:hAnsi="Arial" w:cs="Arial"/>
          <w:color w:val="000000" w:themeColor="text1"/>
          <w:lang w:eastAsia="en-GB"/>
        </w:rPr>
        <w:t xml:space="preserve">January </w:t>
      </w:r>
      <w:r w:rsidR="006A7904" w:rsidRPr="00AA1EB0">
        <w:rPr>
          <w:rFonts w:ascii="Arial" w:eastAsia="Times New Roman" w:hAnsi="Arial" w:cs="Arial"/>
          <w:color w:val="000000" w:themeColor="text1"/>
          <w:lang w:eastAsia="en-GB"/>
        </w:rPr>
        <w:t xml:space="preserve">and </w:t>
      </w:r>
      <w:r w:rsidRPr="00AA1EB0">
        <w:rPr>
          <w:rFonts w:ascii="Arial" w:eastAsia="Times New Roman" w:hAnsi="Arial" w:cs="Arial"/>
          <w:color w:val="000000" w:themeColor="text1"/>
          <w:lang w:eastAsia="en-GB"/>
        </w:rPr>
        <w:t xml:space="preserve">December 2018. The panel itself was active through the period May 2017 to December 2018. This report sets out our reflections on the process of providing advice and guidance on interdisciplinary research (IDR) for the panels and the </w:t>
      </w:r>
      <w:r w:rsidR="004B489E">
        <w:rPr>
          <w:rFonts w:ascii="Arial" w:eastAsia="Times New Roman" w:hAnsi="Arial" w:cs="Arial"/>
          <w:color w:val="000000" w:themeColor="text1"/>
          <w:lang w:eastAsia="en-GB"/>
        </w:rPr>
        <w:t>four UK higher education funding bodies</w:t>
      </w:r>
      <w:r w:rsidRPr="00AA1EB0">
        <w:rPr>
          <w:rFonts w:ascii="Arial" w:eastAsia="Times New Roman" w:hAnsi="Arial" w:cs="Arial"/>
          <w:color w:val="000000" w:themeColor="text1"/>
          <w:lang w:eastAsia="en-GB"/>
        </w:rPr>
        <w:t xml:space="preserve"> on:</w:t>
      </w:r>
    </w:p>
    <w:p w14:paraId="79C6DB74" w14:textId="77777777" w:rsidR="00F9081D" w:rsidRPr="00AA1EB0" w:rsidRDefault="00F9081D" w:rsidP="007B29A2">
      <w:pPr>
        <w:spacing w:after="0" w:line="300" w:lineRule="atLeast"/>
        <w:ind w:left="360"/>
        <w:contextualSpacing/>
        <w:rPr>
          <w:rFonts w:ascii="Arial" w:eastAsia="Times New Roman" w:hAnsi="Arial" w:cs="Arial"/>
          <w:color w:val="000000" w:themeColor="text1"/>
          <w:lang w:eastAsia="en-GB"/>
        </w:rPr>
      </w:pPr>
    </w:p>
    <w:p w14:paraId="5CDDD791" w14:textId="77777777" w:rsidR="00D3197D" w:rsidRPr="00AA1EB0" w:rsidRDefault="00D3197D"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 xml:space="preserve">the representation of IDR expertise on the expert panels </w:t>
      </w:r>
    </w:p>
    <w:p w14:paraId="45A3BB34" w14:textId="38B792D7" w:rsidR="00D3197D" w:rsidRPr="00AA1EB0" w:rsidRDefault="00D3197D"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 xml:space="preserve">measures to support the submission and assessment of IDR </w:t>
      </w:r>
    </w:p>
    <w:p w14:paraId="35519873" w14:textId="77777777" w:rsidR="00D3197D" w:rsidRPr="00AA1EB0" w:rsidRDefault="00D3197D"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the processes needed to support these measures during the assessment phase.</w:t>
      </w:r>
    </w:p>
    <w:p w14:paraId="16525676" w14:textId="77777777" w:rsidR="00D3197D" w:rsidRPr="00AA1EB0" w:rsidRDefault="00D3197D" w:rsidP="007B29A2">
      <w:pPr>
        <w:spacing w:after="0" w:line="300" w:lineRule="atLeast"/>
        <w:ind w:left="720"/>
        <w:contextualSpacing/>
        <w:rPr>
          <w:rFonts w:ascii="Arial" w:eastAsia="Times New Roman" w:hAnsi="Arial" w:cs="Arial"/>
          <w:color w:val="000000" w:themeColor="text1"/>
          <w:lang w:eastAsia="en-GB"/>
        </w:rPr>
      </w:pPr>
    </w:p>
    <w:p w14:paraId="6FCBA8CF" w14:textId="26EDF101" w:rsidR="00D3197D" w:rsidRPr="00AA1EB0" w:rsidRDefault="00D3197D" w:rsidP="003A3BEE">
      <w:pPr>
        <w:numPr>
          <w:ilvl w:val="0"/>
          <w:numId w:val="2"/>
        </w:numPr>
        <w:spacing w:after="0" w:line="300" w:lineRule="atLeast"/>
        <w:ind w:left="0" w:firstLine="0"/>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 xml:space="preserve">A key context for the work of IDAP, and the assessment of IDR within REF 2021, comes from the findings and recommendations of the independent review of the </w:t>
      </w:r>
      <w:r w:rsidR="002279AD" w:rsidRPr="00AA1EB0">
        <w:rPr>
          <w:rFonts w:ascii="Arial" w:eastAsia="Times New Roman" w:hAnsi="Arial" w:cs="Arial"/>
          <w:color w:val="000000" w:themeColor="text1"/>
          <w:lang w:eastAsia="en-GB"/>
        </w:rPr>
        <w:t xml:space="preserve">previous </w:t>
      </w:r>
      <w:r w:rsidRPr="00AA1EB0">
        <w:rPr>
          <w:rFonts w:ascii="Arial" w:eastAsia="Times New Roman" w:hAnsi="Arial" w:cs="Arial"/>
          <w:color w:val="000000" w:themeColor="text1"/>
          <w:lang w:eastAsia="en-GB"/>
        </w:rPr>
        <w:t>REF led by Lord Stern in 2016</w:t>
      </w:r>
      <w:r w:rsidRPr="00AA1EB0">
        <w:rPr>
          <w:rFonts w:ascii="Arial" w:eastAsia="Times New Roman" w:hAnsi="Arial" w:cs="Arial"/>
          <w:color w:val="000000" w:themeColor="text1"/>
          <w:vertAlign w:val="superscript"/>
          <w:lang w:eastAsia="en-GB"/>
        </w:rPr>
        <w:footnoteReference w:id="1"/>
      </w:r>
      <w:r w:rsidR="005B50BD" w:rsidRPr="00AA1EB0">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 xml:space="preserve"> A number of these recommendations directly address IDR within future REF exercises.</w:t>
      </w:r>
      <w:r w:rsidRPr="00AA1EB0">
        <w:rPr>
          <w:rFonts w:ascii="Arial" w:hAnsi="Arial" w:cs="Arial"/>
        </w:rPr>
        <w:t xml:space="preserve"> The review noted that while there was little evidence of discrimination against IDR by the REF 2014 panels, HEIs may have been risk averse in submitting or identifying IDR outputs due to perceptions that it may be disadvantaged in the assessment. As a result, </w:t>
      </w:r>
      <w:r w:rsidR="005B50BD" w:rsidRPr="00AA1EB0">
        <w:rPr>
          <w:rFonts w:ascii="Arial" w:hAnsi="Arial" w:cs="Arial"/>
        </w:rPr>
        <w:t xml:space="preserve">the review identified </w:t>
      </w:r>
      <w:r w:rsidRPr="00AA1EB0">
        <w:rPr>
          <w:rFonts w:ascii="Arial" w:hAnsi="Arial" w:cs="Arial"/>
        </w:rPr>
        <w:t>a number of actions aimed at improving confidence in IDR assessment in the REF.</w:t>
      </w:r>
    </w:p>
    <w:p w14:paraId="7317F306" w14:textId="77777777" w:rsidR="00D3197D" w:rsidRPr="00AA1EB0" w:rsidRDefault="00D3197D" w:rsidP="003A3BEE">
      <w:pPr>
        <w:spacing w:after="0" w:line="300" w:lineRule="atLeast"/>
        <w:contextualSpacing/>
        <w:rPr>
          <w:rFonts w:ascii="Arial" w:eastAsia="Times New Roman" w:hAnsi="Arial" w:cs="Arial"/>
          <w:color w:val="000000" w:themeColor="text1"/>
          <w:lang w:eastAsia="en-GB"/>
        </w:rPr>
      </w:pPr>
    </w:p>
    <w:p w14:paraId="57A6642D" w14:textId="638D839A" w:rsidR="008905FD" w:rsidRPr="00AA1EB0" w:rsidRDefault="00D3197D" w:rsidP="003A3BEE">
      <w:pPr>
        <w:numPr>
          <w:ilvl w:val="0"/>
          <w:numId w:val="2"/>
        </w:numPr>
        <w:spacing w:after="0" w:line="300" w:lineRule="atLeast"/>
        <w:ind w:left="0" w:firstLine="0"/>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A central theme of these recommendations is that such confidence could</w:t>
      </w:r>
      <w:r w:rsidR="005B50BD" w:rsidRPr="00AA1EB0">
        <w:rPr>
          <w:rFonts w:ascii="Arial" w:eastAsia="Times New Roman" w:hAnsi="Arial" w:cs="Arial"/>
          <w:color w:val="000000" w:themeColor="text1"/>
          <w:lang w:eastAsia="en-GB"/>
        </w:rPr>
        <w:t xml:space="preserve"> best</w:t>
      </w:r>
      <w:r w:rsidRPr="00AA1EB0">
        <w:rPr>
          <w:rFonts w:ascii="Arial" w:eastAsia="Times New Roman" w:hAnsi="Arial" w:cs="Arial"/>
          <w:color w:val="000000" w:themeColor="text1"/>
          <w:lang w:eastAsia="en-GB"/>
        </w:rPr>
        <w:t xml:space="preserve"> be achieved through</w:t>
      </w:r>
      <w:r w:rsidR="005B50BD" w:rsidRPr="00AA1EB0">
        <w:rPr>
          <w:rFonts w:ascii="Arial" w:eastAsia="Times New Roman" w:hAnsi="Arial" w:cs="Arial"/>
          <w:color w:val="000000" w:themeColor="text1"/>
          <w:lang w:eastAsia="en-GB"/>
        </w:rPr>
        <w:t xml:space="preserve"> the</w:t>
      </w:r>
      <w:r w:rsidRPr="00AA1EB0">
        <w:rPr>
          <w:rFonts w:ascii="Arial" w:eastAsia="Times New Roman" w:hAnsi="Arial" w:cs="Arial"/>
          <w:color w:val="000000" w:themeColor="text1"/>
          <w:lang w:eastAsia="en-GB"/>
        </w:rPr>
        <w:t xml:space="preserve"> development of a clear and consistent approach to </w:t>
      </w:r>
      <w:r w:rsidR="005B50BD" w:rsidRPr="00AA1EB0">
        <w:rPr>
          <w:rFonts w:ascii="Arial" w:eastAsia="Times New Roman" w:hAnsi="Arial" w:cs="Arial"/>
          <w:color w:val="000000" w:themeColor="text1"/>
          <w:lang w:eastAsia="en-GB"/>
        </w:rPr>
        <w:t xml:space="preserve">the </w:t>
      </w:r>
      <w:r w:rsidRPr="00AA1EB0">
        <w:rPr>
          <w:rFonts w:ascii="Arial" w:eastAsia="Times New Roman" w:hAnsi="Arial" w:cs="Arial"/>
          <w:color w:val="000000" w:themeColor="text1"/>
          <w:lang w:eastAsia="en-GB"/>
        </w:rPr>
        <w:t>assessment of IDR outputs, underpinned by supporting structures within and across panels. The review also recommended the inclusion of institutional</w:t>
      </w:r>
      <w:r w:rsidR="005B50BD" w:rsidRPr="00AA1EB0">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 xml:space="preserve">level information on impact and environment relevant to IDR to provide wider context for submissions into </w:t>
      </w:r>
      <w:r w:rsidR="005B50BD" w:rsidRPr="00AA1EB0">
        <w:rPr>
          <w:rFonts w:ascii="Arial" w:eastAsia="Times New Roman" w:hAnsi="Arial" w:cs="Arial"/>
          <w:color w:val="000000" w:themeColor="text1"/>
          <w:lang w:eastAsia="en-GB"/>
        </w:rPr>
        <w:t>units of assessment (</w:t>
      </w:r>
      <w:r w:rsidRPr="00AA1EB0">
        <w:rPr>
          <w:rFonts w:ascii="Arial" w:eastAsia="Times New Roman" w:hAnsi="Arial" w:cs="Arial"/>
          <w:color w:val="000000" w:themeColor="text1"/>
          <w:lang w:eastAsia="en-GB"/>
        </w:rPr>
        <w:t>UOAs</w:t>
      </w:r>
      <w:r w:rsidR="005B50BD" w:rsidRPr="00AA1EB0">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w:t>
      </w:r>
    </w:p>
    <w:p w14:paraId="212928DE" w14:textId="77777777" w:rsidR="00EF78F4" w:rsidRPr="00AA1EB0" w:rsidRDefault="00EF78F4" w:rsidP="007B29A2">
      <w:pPr>
        <w:spacing w:after="0" w:line="300" w:lineRule="atLeast"/>
        <w:rPr>
          <w:rFonts w:ascii="Arial" w:hAnsi="Arial" w:cs="Arial"/>
        </w:rPr>
      </w:pPr>
    </w:p>
    <w:p w14:paraId="431193C1" w14:textId="0AA6444F" w:rsidR="00D3197D" w:rsidRPr="00C57F29" w:rsidRDefault="00626B80" w:rsidP="00C57F29">
      <w:pPr>
        <w:pStyle w:val="Heading1"/>
        <w:rPr>
          <w:rFonts w:ascii="Arial" w:hAnsi="Arial" w:cs="Arial"/>
          <w:b/>
          <w:color w:val="auto"/>
          <w:sz w:val="24"/>
          <w:szCs w:val="21"/>
        </w:rPr>
      </w:pPr>
      <w:bookmarkStart w:id="6" w:name="_Toc3200568"/>
      <w:r w:rsidRPr="00C57F29">
        <w:rPr>
          <w:rFonts w:ascii="Arial" w:hAnsi="Arial" w:cs="Arial"/>
          <w:b/>
          <w:color w:val="auto"/>
          <w:sz w:val="24"/>
          <w:szCs w:val="21"/>
        </w:rPr>
        <w:t>Purpose</w:t>
      </w:r>
      <w:r w:rsidR="009B39C0" w:rsidRPr="00C57F29">
        <w:rPr>
          <w:rFonts w:ascii="Arial" w:hAnsi="Arial" w:cs="Arial"/>
          <w:b/>
          <w:color w:val="auto"/>
          <w:sz w:val="24"/>
          <w:szCs w:val="21"/>
        </w:rPr>
        <w:t xml:space="preserve"> of IDAP</w:t>
      </w:r>
      <w:bookmarkEnd w:id="6"/>
      <w:r w:rsidR="009B39C0" w:rsidRPr="00C57F29">
        <w:rPr>
          <w:rFonts w:ascii="Arial" w:hAnsi="Arial" w:cs="Arial"/>
          <w:b/>
          <w:color w:val="auto"/>
          <w:sz w:val="24"/>
          <w:szCs w:val="21"/>
        </w:rPr>
        <w:t xml:space="preserve"> </w:t>
      </w:r>
    </w:p>
    <w:p w14:paraId="145E3B6B" w14:textId="1F04EC3E" w:rsidR="00BF25E7" w:rsidRPr="00AA1EB0" w:rsidRDefault="00B44A05" w:rsidP="003A3BEE">
      <w:pPr>
        <w:numPr>
          <w:ilvl w:val="0"/>
          <w:numId w:val="2"/>
        </w:numPr>
        <w:spacing w:after="0" w:line="300" w:lineRule="atLeast"/>
        <w:ind w:left="0" w:firstLine="0"/>
        <w:contextualSpacing/>
        <w:rPr>
          <w:rFonts w:ascii="Arial" w:hAnsi="Arial" w:cs="Arial"/>
        </w:rPr>
      </w:pPr>
      <w:r w:rsidRPr="00AA1EB0">
        <w:rPr>
          <w:rFonts w:ascii="Arial" w:hAnsi="Arial" w:cs="Arial"/>
        </w:rPr>
        <w:t>IDAP was constituted t</w:t>
      </w:r>
      <w:r w:rsidR="003B30B1" w:rsidRPr="00AA1EB0">
        <w:rPr>
          <w:rFonts w:ascii="Arial" w:hAnsi="Arial" w:cs="Arial"/>
        </w:rPr>
        <w:t>o</w:t>
      </w:r>
      <w:r w:rsidR="00D3197D" w:rsidRPr="00AA1EB0">
        <w:rPr>
          <w:rFonts w:ascii="Arial" w:hAnsi="Arial" w:cs="Arial"/>
        </w:rPr>
        <w:t xml:space="preserve"> address the recommendations from the Stern review, </w:t>
      </w:r>
      <w:r w:rsidR="00BF25E7" w:rsidRPr="00AA1EB0">
        <w:rPr>
          <w:rFonts w:ascii="Arial" w:hAnsi="Arial" w:cs="Arial"/>
        </w:rPr>
        <w:t xml:space="preserve">working to agreed </w:t>
      </w:r>
      <w:r w:rsidR="004A72D9">
        <w:rPr>
          <w:rFonts w:ascii="Arial" w:hAnsi="Arial" w:cs="Arial"/>
        </w:rPr>
        <w:t>Terms of Reference at Annex</w:t>
      </w:r>
      <w:r w:rsidR="00DA715E" w:rsidRPr="00AA1EB0">
        <w:rPr>
          <w:rFonts w:ascii="Arial" w:hAnsi="Arial" w:cs="Arial"/>
        </w:rPr>
        <w:t xml:space="preserve"> </w:t>
      </w:r>
      <w:r w:rsidR="005B5A01">
        <w:rPr>
          <w:rFonts w:ascii="Arial" w:hAnsi="Arial" w:cs="Arial"/>
        </w:rPr>
        <w:t>A</w:t>
      </w:r>
      <w:r w:rsidR="004A72D9">
        <w:rPr>
          <w:rFonts w:ascii="Arial" w:hAnsi="Arial" w:cs="Arial"/>
        </w:rPr>
        <w:t>,</w:t>
      </w:r>
      <w:r w:rsidR="00DA715E" w:rsidRPr="00AA1EB0">
        <w:rPr>
          <w:rFonts w:ascii="Arial" w:hAnsi="Arial" w:cs="Arial"/>
        </w:rPr>
        <w:t xml:space="preserve"> </w:t>
      </w:r>
      <w:r w:rsidR="007E2363" w:rsidRPr="00AA1EB0">
        <w:rPr>
          <w:rFonts w:ascii="Arial" w:hAnsi="Arial" w:cs="Arial"/>
        </w:rPr>
        <w:t xml:space="preserve">which </w:t>
      </w:r>
      <w:r w:rsidRPr="00AA1EB0">
        <w:rPr>
          <w:rFonts w:ascii="Arial" w:hAnsi="Arial" w:cs="Arial"/>
        </w:rPr>
        <w:t xml:space="preserve">set </w:t>
      </w:r>
      <w:r w:rsidR="00DA715E" w:rsidRPr="00AA1EB0">
        <w:rPr>
          <w:rFonts w:ascii="Arial" w:hAnsi="Arial" w:cs="Arial"/>
        </w:rPr>
        <w:t xml:space="preserve">out </w:t>
      </w:r>
      <w:r w:rsidRPr="00AA1EB0">
        <w:rPr>
          <w:rFonts w:ascii="Arial" w:hAnsi="Arial" w:cs="Arial"/>
        </w:rPr>
        <w:t xml:space="preserve">the panel’s </w:t>
      </w:r>
      <w:r w:rsidR="005D5F32" w:rsidRPr="00AA1EB0">
        <w:rPr>
          <w:rFonts w:ascii="Arial" w:hAnsi="Arial" w:cs="Arial"/>
        </w:rPr>
        <w:t xml:space="preserve">role in providing </w:t>
      </w:r>
      <w:r w:rsidR="003B30B1" w:rsidRPr="00AA1EB0">
        <w:rPr>
          <w:rFonts w:ascii="Arial" w:hAnsi="Arial" w:cs="Arial"/>
        </w:rPr>
        <w:t xml:space="preserve">advice </w:t>
      </w:r>
      <w:r w:rsidR="005D5F32" w:rsidRPr="00AA1EB0">
        <w:rPr>
          <w:rFonts w:ascii="Arial" w:hAnsi="Arial" w:cs="Arial"/>
        </w:rPr>
        <w:t xml:space="preserve">to </w:t>
      </w:r>
      <w:r w:rsidRPr="00AA1EB0">
        <w:rPr>
          <w:rFonts w:ascii="Arial" w:hAnsi="Arial" w:cs="Arial"/>
        </w:rPr>
        <w:t xml:space="preserve">embed </w:t>
      </w:r>
      <w:r w:rsidR="005D5F32" w:rsidRPr="00AA1EB0">
        <w:rPr>
          <w:rFonts w:ascii="Arial" w:hAnsi="Arial" w:cs="Arial"/>
        </w:rPr>
        <w:t>equit</w:t>
      </w:r>
      <w:r w:rsidRPr="00AA1EB0">
        <w:rPr>
          <w:rFonts w:ascii="Arial" w:hAnsi="Arial" w:cs="Arial"/>
        </w:rPr>
        <w:t xml:space="preserve">able </w:t>
      </w:r>
      <w:r w:rsidR="005D5F32" w:rsidRPr="00AA1EB0">
        <w:rPr>
          <w:rFonts w:ascii="Arial" w:hAnsi="Arial" w:cs="Arial"/>
        </w:rPr>
        <w:t xml:space="preserve">treatment for </w:t>
      </w:r>
      <w:r w:rsidR="004B489E">
        <w:rPr>
          <w:rFonts w:ascii="Arial" w:hAnsi="Arial" w:cs="Arial"/>
        </w:rPr>
        <w:t>IDR</w:t>
      </w:r>
      <w:r w:rsidR="005D5F32" w:rsidRPr="00AA1EB0">
        <w:rPr>
          <w:rFonts w:ascii="Arial" w:hAnsi="Arial" w:cs="Arial"/>
        </w:rPr>
        <w:t xml:space="preserve"> in REF 2021</w:t>
      </w:r>
      <w:r w:rsidRPr="00AA1EB0">
        <w:rPr>
          <w:rFonts w:ascii="Arial" w:hAnsi="Arial" w:cs="Arial"/>
        </w:rPr>
        <w:t xml:space="preserve">. </w:t>
      </w:r>
    </w:p>
    <w:p w14:paraId="4C17D159" w14:textId="242B4497" w:rsidR="00822F2F" w:rsidRPr="00AA1EB0" w:rsidRDefault="00822F2F" w:rsidP="003A3BEE">
      <w:pPr>
        <w:spacing w:after="0" w:line="300" w:lineRule="atLeast"/>
        <w:contextualSpacing/>
        <w:rPr>
          <w:rFonts w:ascii="Arial" w:hAnsi="Arial" w:cs="Arial"/>
        </w:rPr>
      </w:pPr>
    </w:p>
    <w:p w14:paraId="48C733A6" w14:textId="52F31F3D" w:rsidR="00822F2F" w:rsidRPr="00AA1EB0" w:rsidRDefault="004B489E" w:rsidP="003A3BEE">
      <w:pPr>
        <w:numPr>
          <w:ilvl w:val="0"/>
          <w:numId w:val="2"/>
        </w:numPr>
        <w:spacing w:after="0" w:line="300" w:lineRule="atLeast"/>
        <w:ind w:left="0" w:firstLine="0"/>
        <w:contextualSpacing/>
        <w:rPr>
          <w:rFonts w:ascii="Arial" w:eastAsia="Times New Roman" w:hAnsi="Arial" w:cs="Arial"/>
          <w:color w:val="000000" w:themeColor="text1"/>
          <w:lang w:eastAsia="en-GB"/>
        </w:rPr>
      </w:pPr>
      <w:r>
        <w:rPr>
          <w:rFonts w:ascii="Arial" w:eastAsia="Times New Roman" w:hAnsi="Arial" w:cs="Arial"/>
          <w:color w:val="000000" w:themeColor="text1"/>
          <w:lang w:eastAsia="en-GB"/>
        </w:rPr>
        <w:t>Our</w:t>
      </w:r>
      <w:r w:rsidRPr="00AA1EB0">
        <w:rPr>
          <w:rFonts w:ascii="Arial" w:eastAsia="Times New Roman" w:hAnsi="Arial" w:cs="Arial"/>
          <w:color w:val="000000" w:themeColor="text1"/>
          <w:lang w:eastAsia="en-GB"/>
        </w:rPr>
        <w:t xml:space="preserve"> </w:t>
      </w:r>
      <w:r w:rsidR="00822F2F" w:rsidRPr="00AA1EB0">
        <w:rPr>
          <w:rFonts w:ascii="Arial" w:eastAsia="Times New Roman" w:hAnsi="Arial" w:cs="Arial"/>
          <w:color w:val="000000" w:themeColor="text1"/>
          <w:lang w:eastAsia="en-GB"/>
        </w:rPr>
        <w:t xml:space="preserve">work </w:t>
      </w:r>
      <w:r>
        <w:rPr>
          <w:rFonts w:ascii="Arial" w:eastAsia="Times New Roman" w:hAnsi="Arial" w:cs="Arial"/>
          <w:color w:val="000000" w:themeColor="text1"/>
          <w:lang w:eastAsia="en-GB"/>
        </w:rPr>
        <w:t>evolved</w:t>
      </w:r>
      <w:r w:rsidRPr="00AA1EB0">
        <w:rPr>
          <w:rFonts w:ascii="Arial" w:eastAsia="Times New Roman" w:hAnsi="Arial" w:cs="Arial"/>
          <w:color w:val="000000" w:themeColor="text1"/>
          <w:lang w:eastAsia="en-GB"/>
        </w:rPr>
        <w:t xml:space="preserve"> </w:t>
      </w:r>
      <w:r w:rsidR="00822F2F" w:rsidRPr="00AA1EB0">
        <w:rPr>
          <w:rFonts w:ascii="Arial" w:eastAsia="Times New Roman" w:hAnsi="Arial" w:cs="Arial"/>
          <w:color w:val="000000" w:themeColor="text1"/>
          <w:lang w:eastAsia="en-GB"/>
        </w:rPr>
        <w:t xml:space="preserve">throughout the criteria phase, and </w:t>
      </w:r>
      <w:r w:rsidR="00C64C48">
        <w:rPr>
          <w:rFonts w:ascii="Arial" w:eastAsia="Times New Roman" w:hAnsi="Arial" w:cs="Arial"/>
          <w:color w:val="000000" w:themeColor="text1"/>
          <w:lang w:eastAsia="en-GB"/>
        </w:rPr>
        <w:t>we have</w:t>
      </w:r>
      <w:r w:rsidR="00822F2F" w:rsidRPr="00AA1EB0">
        <w:rPr>
          <w:rFonts w:ascii="Arial" w:eastAsia="Times New Roman" w:hAnsi="Arial" w:cs="Arial"/>
          <w:color w:val="000000" w:themeColor="text1"/>
          <w:lang w:eastAsia="en-GB"/>
        </w:rPr>
        <w:t xml:space="preserve"> provided advice and guidance on:</w:t>
      </w:r>
    </w:p>
    <w:p w14:paraId="1D154BDC" w14:textId="6E76A80E" w:rsidR="00822F2F" w:rsidRPr="00AA1EB0" w:rsidRDefault="00822F2F"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 xml:space="preserve">developing an agreed definition of IDR for REF 2021 to support consistent use of </w:t>
      </w:r>
      <w:r w:rsidR="002279AD" w:rsidRPr="00AA1EB0">
        <w:rPr>
          <w:rFonts w:ascii="Arial" w:eastAsia="Times New Roman" w:hAnsi="Arial" w:cs="Arial"/>
          <w:color w:val="000000" w:themeColor="text1"/>
          <w:lang w:eastAsia="en-GB"/>
        </w:rPr>
        <w:t xml:space="preserve">an </w:t>
      </w:r>
      <w:r w:rsidRPr="00AA1EB0">
        <w:rPr>
          <w:rFonts w:ascii="Arial" w:eastAsia="Times New Roman" w:hAnsi="Arial" w:cs="Arial"/>
          <w:color w:val="000000" w:themeColor="text1"/>
          <w:lang w:eastAsia="en-GB"/>
        </w:rPr>
        <w:t xml:space="preserve">IDR flag for outputs </w:t>
      </w:r>
    </w:p>
    <w:p w14:paraId="550C079E" w14:textId="29415620" w:rsidR="00822F2F" w:rsidRPr="00AA1EB0" w:rsidRDefault="005B50BD"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including</w:t>
      </w:r>
      <w:r w:rsidR="00822F2F" w:rsidRPr="00AA1EB0">
        <w:rPr>
          <w:rFonts w:ascii="Arial" w:eastAsia="Times New Roman" w:hAnsi="Arial" w:cs="Arial"/>
          <w:color w:val="000000" w:themeColor="text1"/>
          <w:lang w:eastAsia="en-GB"/>
        </w:rPr>
        <w:t xml:space="preserve"> IDR expertise in appointments to the </w:t>
      </w:r>
      <w:r w:rsidR="00FA1873" w:rsidRPr="00AA1EB0">
        <w:rPr>
          <w:rFonts w:ascii="Arial" w:eastAsia="Times New Roman" w:hAnsi="Arial" w:cs="Arial"/>
          <w:color w:val="000000" w:themeColor="text1"/>
          <w:lang w:eastAsia="en-GB"/>
        </w:rPr>
        <w:t>main</w:t>
      </w:r>
      <w:r w:rsidR="00822F2F" w:rsidRPr="00AA1EB0">
        <w:rPr>
          <w:rFonts w:ascii="Arial" w:eastAsia="Times New Roman" w:hAnsi="Arial" w:cs="Arial"/>
          <w:color w:val="000000" w:themeColor="text1"/>
          <w:lang w:eastAsia="en-GB"/>
        </w:rPr>
        <w:t xml:space="preserve"> </w:t>
      </w:r>
      <w:r w:rsidR="002279AD" w:rsidRPr="00AA1EB0">
        <w:rPr>
          <w:rFonts w:ascii="Arial" w:eastAsia="Times New Roman" w:hAnsi="Arial" w:cs="Arial"/>
          <w:color w:val="000000" w:themeColor="text1"/>
          <w:lang w:eastAsia="en-GB"/>
        </w:rPr>
        <w:t>and sub-panels</w:t>
      </w:r>
    </w:p>
    <w:p w14:paraId="498D2A4A" w14:textId="540259CD" w:rsidR="00822F2F" w:rsidRPr="00AA1EB0" w:rsidRDefault="00822F2F"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developing guidance to support the assessment of interdisciplinary outputs in the application of the assessment criteria of originality, significance and rigour</w:t>
      </w:r>
    </w:p>
    <w:p w14:paraId="479C3651" w14:textId="13251B2F" w:rsidR="00822F2F" w:rsidRPr="00AA1EB0" w:rsidRDefault="005B50BD"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developing</w:t>
      </w:r>
      <w:r w:rsidR="00822F2F" w:rsidRPr="00AA1EB0">
        <w:rPr>
          <w:rFonts w:ascii="Arial" w:eastAsia="Times New Roman" w:hAnsi="Arial" w:cs="Arial"/>
          <w:color w:val="000000" w:themeColor="text1"/>
          <w:lang w:eastAsia="en-GB"/>
        </w:rPr>
        <w:t xml:space="preserve"> the role of the IDR adviser and the wider panel structures to support IDR assessment </w:t>
      </w:r>
    </w:p>
    <w:p w14:paraId="4EDCAEAC" w14:textId="793BE3DD" w:rsidR="00822F2F" w:rsidRPr="00AA1EB0" w:rsidRDefault="005B50BD"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including</w:t>
      </w:r>
      <w:r w:rsidR="00822F2F" w:rsidRPr="00AA1EB0">
        <w:rPr>
          <w:rFonts w:ascii="Arial" w:eastAsia="Times New Roman" w:hAnsi="Arial" w:cs="Arial"/>
          <w:color w:val="000000" w:themeColor="text1"/>
          <w:lang w:eastAsia="en-GB"/>
        </w:rPr>
        <w:t xml:space="preserve"> a section in the environment template for submitting units to describe the structures supporting IDR (where appropriate) </w:t>
      </w:r>
    </w:p>
    <w:p w14:paraId="0325CFE2" w14:textId="4D2A4465" w:rsidR="00822F2F" w:rsidRPr="00AA1EB0" w:rsidRDefault="005B50BD"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IDAP’s</w:t>
      </w:r>
      <w:r w:rsidR="00822F2F" w:rsidRPr="00AA1EB0">
        <w:rPr>
          <w:rFonts w:ascii="Arial" w:eastAsia="Times New Roman" w:hAnsi="Arial" w:cs="Arial"/>
          <w:color w:val="000000" w:themeColor="text1"/>
          <w:lang w:eastAsia="en-GB"/>
        </w:rPr>
        <w:t xml:space="preserve"> future role through</w:t>
      </w:r>
      <w:r w:rsidRPr="00AA1EB0">
        <w:rPr>
          <w:rFonts w:ascii="Arial" w:eastAsia="Times New Roman" w:hAnsi="Arial" w:cs="Arial"/>
          <w:color w:val="000000" w:themeColor="text1"/>
          <w:lang w:eastAsia="en-GB"/>
        </w:rPr>
        <w:t>out</w:t>
      </w:r>
      <w:r w:rsidR="00822F2F" w:rsidRPr="00AA1EB0">
        <w:rPr>
          <w:rFonts w:ascii="Arial" w:eastAsia="Times New Roman" w:hAnsi="Arial" w:cs="Arial"/>
          <w:color w:val="000000" w:themeColor="text1"/>
          <w:lang w:eastAsia="en-GB"/>
        </w:rPr>
        <w:t xml:space="preserve"> the submission phase and in supporting the work of the panels through</w:t>
      </w:r>
      <w:r w:rsidRPr="00AA1EB0">
        <w:rPr>
          <w:rFonts w:ascii="Arial" w:eastAsia="Times New Roman" w:hAnsi="Arial" w:cs="Arial"/>
          <w:color w:val="000000" w:themeColor="text1"/>
          <w:lang w:eastAsia="en-GB"/>
        </w:rPr>
        <w:t>out</w:t>
      </w:r>
      <w:r w:rsidR="00822F2F" w:rsidRPr="00AA1EB0">
        <w:rPr>
          <w:rFonts w:ascii="Arial" w:eastAsia="Times New Roman" w:hAnsi="Arial" w:cs="Arial"/>
          <w:color w:val="000000" w:themeColor="text1"/>
          <w:lang w:eastAsia="en-GB"/>
        </w:rPr>
        <w:t xml:space="preserve"> the assessment stage.</w:t>
      </w:r>
    </w:p>
    <w:p w14:paraId="5CA4CAF2" w14:textId="77777777" w:rsidR="00DA715E" w:rsidRPr="00AA1EB0" w:rsidRDefault="00DA715E" w:rsidP="007B29A2">
      <w:pPr>
        <w:spacing w:after="0" w:line="300" w:lineRule="atLeast"/>
        <w:ind w:left="360"/>
        <w:contextualSpacing/>
        <w:rPr>
          <w:rFonts w:ascii="Arial" w:hAnsi="Arial" w:cs="Arial"/>
        </w:rPr>
      </w:pPr>
    </w:p>
    <w:p w14:paraId="390A8873" w14:textId="7702F32F" w:rsidR="004273FD" w:rsidRPr="00C57F29" w:rsidRDefault="004273FD" w:rsidP="00C57F29">
      <w:pPr>
        <w:pStyle w:val="Heading1"/>
        <w:rPr>
          <w:rFonts w:ascii="Arial" w:hAnsi="Arial" w:cs="Arial"/>
          <w:b/>
          <w:color w:val="auto"/>
          <w:sz w:val="24"/>
          <w:szCs w:val="21"/>
        </w:rPr>
      </w:pPr>
      <w:bookmarkStart w:id="7" w:name="_Toc3200569"/>
      <w:r w:rsidRPr="00C57F29">
        <w:rPr>
          <w:rFonts w:ascii="Arial" w:hAnsi="Arial" w:cs="Arial"/>
          <w:b/>
          <w:color w:val="auto"/>
          <w:sz w:val="24"/>
          <w:szCs w:val="21"/>
        </w:rPr>
        <w:t>Constitution of IDAP</w:t>
      </w:r>
      <w:bookmarkEnd w:id="7"/>
    </w:p>
    <w:p w14:paraId="51530764" w14:textId="1FF479EF" w:rsidR="005B0C18" w:rsidRPr="00AA1EB0" w:rsidRDefault="004273FD" w:rsidP="003A3BEE">
      <w:pPr>
        <w:numPr>
          <w:ilvl w:val="0"/>
          <w:numId w:val="2"/>
        </w:numPr>
        <w:spacing w:after="0" w:line="300" w:lineRule="atLeast"/>
        <w:ind w:left="0" w:firstLine="0"/>
        <w:contextualSpacing/>
        <w:rPr>
          <w:rFonts w:ascii="Arial" w:eastAsia="Times New Roman" w:hAnsi="Arial" w:cs="Arial"/>
          <w:lang w:eastAsia="en-GB"/>
        </w:rPr>
      </w:pPr>
      <w:r w:rsidRPr="00AA1EB0">
        <w:rPr>
          <w:rFonts w:ascii="Arial" w:hAnsi="Arial" w:cs="Arial"/>
        </w:rPr>
        <w:t>IDAP is chaired by Professor Dame Athene Donald, and includes members from across the UK. Members were appointed following a nominations process</w:t>
      </w:r>
      <w:r w:rsidR="00AF14E8">
        <w:rPr>
          <w:rStyle w:val="FootnoteReference"/>
          <w:rFonts w:ascii="Arial" w:hAnsi="Arial" w:cs="Arial"/>
        </w:rPr>
        <w:footnoteReference w:id="2"/>
      </w:r>
      <w:r w:rsidRPr="00AA1EB0">
        <w:rPr>
          <w:rFonts w:ascii="Arial" w:hAnsi="Arial" w:cs="Arial"/>
        </w:rPr>
        <w:t>, and include experienced researchers collectively with extensive interdisciplinary and research assessment experience across all main panels.</w:t>
      </w:r>
      <w:r w:rsidR="00B2451E" w:rsidRPr="00AA1EB0">
        <w:rPr>
          <w:rFonts w:ascii="Arial" w:hAnsi="Arial" w:cs="Arial"/>
        </w:rPr>
        <w:t xml:space="preserve"> </w:t>
      </w:r>
      <w:r w:rsidRPr="00AA1EB0">
        <w:rPr>
          <w:rFonts w:ascii="Arial" w:eastAsia="Times New Roman" w:hAnsi="Arial" w:cs="Arial"/>
          <w:lang w:eastAsia="en-GB"/>
        </w:rPr>
        <w:t>The membership of IDAP in the criteria phase</w:t>
      </w:r>
      <w:r w:rsidR="00315330" w:rsidRPr="00AA1EB0">
        <w:rPr>
          <w:rFonts w:ascii="Arial" w:eastAsia="Times New Roman" w:hAnsi="Arial" w:cs="Arial"/>
          <w:lang w:eastAsia="en-GB"/>
        </w:rPr>
        <w:t>, including observers,</w:t>
      </w:r>
      <w:r w:rsidRPr="00AA1EB0">
        <w:rPr>
          <w:rFonts w:ascii="Arial" w:eastAsia="Times New Roman" w:hAnsi="Arial" w:cs="Arial"/>
          <w:lang w:eastAsia="en-GB"/>
        </w:rPr>
        <w:t xml:space="preserve"> is included at Annex </w:t>
      </w:r>
      <w:r w:rsidR="005B5A01">
        <w:rPr>
          <w:rFonts w:ascii="Arial" w:eastAsia="Times New Roman" w:hAnsi="Arial" w:cs="Arial"/>
          <w:lang w:eastAsia="en-GB"/>
        </w:rPr>
        <w:t>B</w:t>
      </w:r>
      <w:r w:rsidRPr="00AA1EB0">
        <w:rPr>
          <w:rFonts w:ascii="Arial" w:eastAsia="Times New Roman" w:hAnsi="Arial" w:cs="Arial"/>
          <w:lang w:eastAsia="en-GB"/>
        </w:rPr>
        <w:t xml:space="preserve">. </w:t>
      </w:r>
    </w:p>
    <w:p w14:paraId="794F6DFA" w14:textId="77777777" w:rsidR="005B0C18" w:rsidRPr="00AA1EB0" w:rsidRDefault="005B0C18" w:rsidP="003A3BEE">
      <w:pPr>
        <w:spacing w:after="0" w:line="300" w:lineRule="atLeast"/>
        <w:contextualSpacing/>
        <w:rPr>
          <w:rFonts w:ascii="Arial" w:eastAsia="Times New Roman" w:hAnsi="Arial" w:cs="Arial"/>
          <w:lang w:eastAsia="en-GB"/>
        </w:rPr>
      </w:pPr>
    </w:p>
    <w:p w14:paraId="07112C10" w14:textId="5649C87F" w:rsidR="0044587F" w:rsidRPr="00AA1EB0" w:rsidRDefault="0044587F" w:rsidP="003A3BEE">
      <w:pPr>
        <w:numPr>
          <w:ilvl w:val="0"/>
          <w:numId w:val="2"/>
        </w:numPr>
        <w:spacing w:after="0" w:line="300" w:lineRule="atLeast"/>
        <w:ind w:left="0" w:firstLine="0"/>
        <w:contextualSpacing/>
        <w:rPr>
          <w:rFonts w:ascii="Arial" w:eastAsia="Times New Roman" w:hAnsi="Arial" w:cs="Arial"/>
          <w:lang w:eastAsia="en-GB"/>
        </w:rPr>
      </w:pPr>
      <w:r w:rsidRPr="00AA1EB0">
        <w:rPr>
          <w:rFonts w:ascii="Arial" w:eastAsia="Times New Roman" w:hAnsi="Arial" w:cs="Arial"/>
          <w:color w:val="000000" w:themeColor="text1"/>
          <w:lang w:eastAsia="en-GB"/>
        </w:rPr>
        <w:t xml:space="preserve">The panel is supported by the REF </w:t>
      </w:r>
      <w:r w:rsidR="00AE5E41" w:rsidRPr="00AA1EB0">
        <w:rPr>
          <w:rFonts w:ascii="Arial" w:eastAsia="Times New Roman" w:hAnsi="Arial" w:cs="Arial"/>
          <w:color w:val="000000" w:themeColor="text1"/>
          <w:lang w:eastAsia="en-GB"/>
        </w:rPr>
        <w:t>t</w:t>
      </w:r>
      <w:r w:rsidRPr="00AA1EB0">
        <w:rPr>
          <w:rFonts w:ascii="Arial" w:eastAsia="Times New Roman" w:hAnsi="Arial" w:cs="Arial"/>
          <w:color w:val="000000" w:themeColor="text1"/>
          <w:lang w:eastAsia="en-GB"/>
        </w:rPr>
        <w:t>eam within Research England (formerly HEFCE), who provide the panel secretariat</w:t>
      </w:r>
      <w:r w:rsidR="00B2451E" w:rsidRPr="00AA1EB0">
        <w:rPr>
          <w:rFonts w:ascii="Arial" w:eastAsia="Times New Roman" w:hAnsi="Arial" w:cs="Arial"/>
          <w:color w:val="000000" w:themeColor="text1"/>
          <w:lang w:eastAsia="en-GB"/>
        </w:rPr>
        <w:t xml:space="preserve"> function</w:t>
      </w:r>
      <w:r w:rsidRPr="00AA1EB0">
        <w:rPr>
          <w:rFonts w:ascii="Arial" w:eastAsia="Times New Roman" w:hAnsi="Arial" w:cs="Arial"/>
          <w:color w:val="000000" w:themeColor="text1"/>
          <w:lang w:eastAsia="en-GB"/>
        </w:rPr>
        <w:t xml:space="preserve">. </w:t>
      </w:r>
      <w:r w:rsidRPr="00AA1EB0">
        <w:rPr>
          <w:rFonts w:ascii="Arial" w:eastAsia="Times New Roman" w:hAnsi="Arial" w:cs="Arial"/>
          <w:lang w:eastAsia="en-GB"/>
        </w:rPr>
        <w:t xml:space="preserve">The funding bodies are represented by the </w:t>
      </w:r>
      <w:r w:rsidR="00AF0658" w:rsidRPr="00AA1EB0">
        <w:rPr>
          <w:rFonts w:ascii="Arial" w:eastAsia="Times New Roman" w:hAnsi="Arial" w:cs="Arial"/>
          <w:lang w:eastAsia="en-GB"/>
        </w:rPr>
        <w:t>chair of the REF steering group</w:t>
      </w:r>
      <w:r w:rsidRPr="00AA1EB0">
        <w:rPr>
          <w:rFonts w:ascii="Arial" w:eastAsia="Times New Roman" w:hAnsi="Arial" w:cs="Arial"/>
          <w:lang w:eastAsia="en-GB"/>
        </w:rPr>
        <w:t>.</w:t>
      </w:r>
      <w:r w:rsidRPr="00AA1EB0">
        <w:rPr>
          <w:rFonts w:ascii="Arial" w:eastAsia="Times New Roman" w:hAnsi="Arial" w:cs="Arial"/>
          <w:color w:val="000000" w:themeColor="text1"/>
          <w:lang w:eastAsia="en-GB"/>
        </w:rPr>
        <w:t xml:space="preserve"> </w:t>
      </w:r>
    </w:p>
    <w:p w14:paraId="38D415AA" w14:textId="77777777" w:rsidR="007E3B28" w:rsidRPr="00AA1EB0" w:rsidRDefault="007E3B28" w:rsidP="007B29A2">
      <w:pPr>
        <w:spacing w:after="0" w:line="300" w:lineRule="atLeast"/>
        <w:ind w:left="360"/>
        <w:contextualSpacing/>
        <w:rPr>
          <w:rFonts w:ascii="Arial" w:hAnsi="Arial" w:cs="Arial"/>
          <w:b/>
        </w:rPr>
      </w:pPr>
    </w:p>
    <w:p w14:paraId="3B4FE8E9" w14:textId="4A1F4559" w:rsidR="007E3B28" w:rsidRPr="00C57F29" w:rsidRDefault="007E3B28" w:rsidP="00C57F29">
      <w:pPr>
        <w:pStyle w:val="Heading1"/>
        <w:rPr>
          <w:rFonts w:ascii="Arial" w:hAnsi="Arial" w:cs="Arial"/>
          <w:b/>
          <w:color w:val="auto"/>
          <w:sz w:val="24"/>
          <w:szCs w:val="21"/>
        </w:rPr>
      </w:pPr>
      <w:bookmarkStart w:id="8" w:name="_Toc3200570"/>
      <w:r w:rsidRPr="00C57F29">
        <w:rPr>
          <w:rFonts w:ascii="Arial" w:hAnsi="Arial" w:cs="Arial"/>
          <w:b/>
          <w:color w:val="auto"/>
          <w:sz w:val="24"/>
          <w:szCs w:val="21"/>
        </w:rPr>
        <w:t>IDAP’s working methods</w:t>
      </w:r>
      <w:bookmarkEnd w:id="8"/>
    </w:p>
    <w:p w14:paraId="78AEFD3E" w14:textId="13AC33B8" w:rsidR="007E3B28" w:rsidRPr="00AA1EB0" w:rsidRDefault="00C64C48" w:rsidP="003A3BEE">
      <w:pPr>
        <w:numPr>
          <w:ilvl w:val="0"/>
          <w:numId w:val="2"/>
        </w:numPr>
        <w:spacing w:after="0" w:line="300" w:lineRule="atLeast"/>
        <w:ind w:left="0" w:firstLine="0"/>
        <w:contextualSpacing/>
        <w:rPr>
          <w:rFonts w:ascii="Arial" w:eastAsia="Times New Roman" w:hAnsi="Arial" w:cs="Arial"/>
          <w:lang w:eastAsia="en-GB"/>
        </w:rPr>
      </w:pPr>
      <w:r>
        <w:rPr>
          <w:rFonts w:ascii="Arial" w:eastAsia="Times New Roman" w:hAnsi="Arial" w:cs="Arial"/>
          <w:color w:val="000000" w:themeColor="text1"/>
          <w:lang w:eastAsia="en-GB"/>
        </w:rPr>
        <w:t>We</w:t>
      </w:r>
      <w:r w:rsidR="007E2363" w:rsidRPr="00AA1EB0">
        <w:rPr>
          <w:rFonts w:ascii="Arial" w:eastAsia="Times New Roman" w:hAnsi="Arial" w:cs="Arial"/>
          <w:color w:val="000000" w:themeColor="text1"/>
          <w:lang w:eastAsia="en-GB"/>
        </w:rPr>
        <w:t xml:space="preserve"> took an evidence</w:t>
      </w:r>
      <w:r w:rsidR="00AD6542" w:rsidRPr="00AA1EB0">
        <w:rPr>
          <w:rFonts w:ascii="Arial" w:eastAsia="Times New Roman" w:hAnsi="Arial" w:cs="Arial"/>
          <w:color w:val="000000" w:themeColor="text1"/>
          <w:lang w:eastAsia="en-GB"/>
        </w:rPr>
        <w:t>-</w:t>
      </w:r>
      <w:r w:rsidR="007E2363" w:rsidRPr="00AA1EB0">
        <w:rPr>
          <w:rFonts w:ascii="Arial" w:eastAsia="Times New Roman" w:hAnsi="Arial" w:cs="Arial"/>
          <w:color w:val="000000" w:themeColor="text1"/>
          <w:lang w:eastAsia="en-GB"/>
        </w:rPr>
        <w:t xml:space="preserve">based approach to developing </w:t>
      </w:r>
      <w:r>
        <w:rPr>
          <w:rFonts w:ascii="Arial" w:eastAsia="Times New Roman" w:hAnsi="Arial" w:cs="Arial"/>
          <w:color w:val="000000" w:themeColor="text1"/>
          <w:lang w:eastAsia="en-GB"/>
        </w:rPr>
        <w:t>our</w:t>
      </w:r>
      <w:r w:rsidRPr="00AA1EB0">
        <w:rPr>
          <w:rFonts w:ascii="Arial" w:eastAsia="Times New Roman" w:hAnsi="Arial" w:cs="Arial"/>
          <w:color w:val="000000" w:themeColor="text1"/>
          <w:lang w:eastAsia="en-GB"/>
        </w:rPr>
        <w:t xml:space="preserve"> </w:t>
      </w:r>
      <w:r w:rsidR="007E2363" w:rsidRPr="00AA1EB0">
        <w:rPr>
          <w:rFonts w:ascii="Arial" w:eastAsia="Times New Roman" w:hAnsi="Arial" w:cs="Arial"/>
          <w:color w:val="000000" w:themeColor="text1"/>
          <w:lang w:eastAsia="en-GB"/>
        </w:rPr>
        <w:t>advice, drawing on consultation feedback, relevant policy analysis, academic literature and feedback from the main and sub-panels.</w:t>
      </w:r>
      <w:r w:rsidR="005B0C18" w:rsidRPr="00AA1EB0">
        <w:rPr>
          <w:rFonts w:ascii="Arial" w:eastAsia="Times New Roman" w:hAnsi="Arial" w:cs="Arial"/>
          <w:color w:val="000000" w:themeColor="text1"/>
          <w:lang w:eastAsia="en-GB"/>
        </w:rPr>
        <w:t xml:space="preserve"> </w:t>
      </w:r>
    </w:p>
    <w:p w14:paraId="6C362317" w14:textId="77777777" w:rsidR="005B0C18" w:rsidRPr="00AA1EB0" w:rsidRDefault="005B0C18" w:rsidP="003A3BEE">
      <w:pPr>
        <w:spacing w:after="0" w:line="300" w:lineRule="atLeast"/>
        <w:contextualSpacing/>
        <w:rPr>
          <w:rFonts w:ascii="Arial" w:eastAsia="Times New Roman" w:hAnsi="Arial" w:cs="Arial"/>
          <w:lang w:eastAsia="en-GB"/>
        </w:rPr>
      </w:pPr>
    </w:p>
    <w:p w14:paraId="73ED1506" w14:textId="7C5B34D2" w:rsidR="004273FD" w:rsidRPr="00AA1EB0" w:rsidRDefault="00C64C48" w:rsidP="003A3BEE">
      <w:pPr>
        <w:numPr>
          <w:ilvl w:val="0"/>
          <w:numId w:val="2"/>
        </w:numPr>
        <w:spacing w:after="0" w:line="300" w:lineRule="atLeast"/>
        <w:ind w:left="0" w:firstLine="0"/>
        <w:contextualSpacing/>
        <w:rPr>
          <w:rFonts w:ascii="Arial" w:eastAsia="Times New Roman" w:hAnsi="Arial" w:cs="Arial"/>
          <w:lang w:eastAsia="en-GB"/>
        </w:rPr>
      </w:pPr>
      <w:r>
        <w:rPr>
          <w:rFonts w:ascii="Arial" w:eastAsia="Times New Roman" w:hAnsi="Arial" w:cs="Arial"/>
          <w:lang w:eastAsia="en-GB"/>
        </w:rPr>
        <w:t>We</w:t>
      </w:r>
      <w:r w:rsidR="004273FD" w:rsidRPr="00AA1EB0">
        <w:rPr>
          <w:rFonts w:ascii="Arial" w:eastAsia="Times New Roman" w:hAnsi="Arial" w:cs="Arial"/>
          <w:lang w:eastAsia="en-GB"/>
        </w:rPr>
        <w:t xml:space="preserve"> met four times during the criteria</w:t>
      </w:r>
      <w:r w:rsidR="005B1488">
        <w:rPr>
          <w:rFonts w:ascii="Arial" w:eastAsia="Times New Roman" w:hAnsi="Arial" w:cs="Arial"/>
          <w:lang w:eastAsia="en-GB"/>
        </w:rPr>
        <w:t xml:space="preserve"> development</w:t>
      </w:r>
      <w:r w:rsidR="004273FD" w:rsidRPr="00AA1EB0">
        <w:rPr>
          <w:rFonts w:ascii="Arial" w:eastAsia="Times New Roman" w:hAnsi="Arial" w:cs="Arial"/>
          <w:lang w:eastAsia="en-GB"/>
        </w:rPr>
        <w:t xml:space="preserve"> phase:</w:t>
      </w:r>
    </w:p>
    <w:p w14:paraId="694C8821" w14:textId="77777777" w:rsidR="004273FD" w:rsidRPr="00AA1EB0" w:rsidRDefault="004273FD" w:rsidP="003A3BEE">
      <w:pPr>
        <w:numPr>
          <w:ilvl w:val="1"/>
          <w:numId w:val="2"/>
        </w:numPr>
        <w:tabs>
          <w:tab w:val="left" w:pos="851"/>
        </w:tabs>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In May 2017, following the analysis of the consultation on the REF, the panel met to consider consultation responses, to input into the initial decisions on the REF and to advise on the appointment of panel members.</w:t>
      </w:r>
    </w:p>
    <w:p w14:paraId="380F4B0E" w14:textId="2A147077" w:rsidR="004273FD" w:rsidRPr="00AA1EB0" w:rsidRDefault="004273FD"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 xml:space="preserve">In September 2017, the panel </w:t>
      </w:r>
      <w:r w:rsidR="00BD51F2" w:rsidRPr="00AA1EB0">
        <w:rPr>
          <w:rFonts w:ascii="Arial" w:eastAsia="Times New Roman" w:hAnsi="Arial" w:cs="Arial"/>
          <w:color w:val="000000" w:themeColor="text1"/>
          <w:lang w:eastAsia="en-GB"/>
        </w:rPr>
        <w:t>began development of its</w:t>
      </w:r>
      <w:r w:rsidRPr="00AA1EB0">
        <w:rPr>
          <w:rFonts w:ascii="Arial" w:eastAsia="Times New Roman" w:hAnsi="Arial" w:cs="Arial"/>
          <w:color w:val="000000" w:themeColor="text1"/>
          <w:lang w:eastAsia="en-GB"/>
        </w:rPr>
        <w:t xml:space="preserve"> advice on </w:t>
      </w:r>
      <w:r w:rsidR="00BD51F2" w:rsidRPr="00AA1EB0">
        <w:rPr>
          <w:rFonts w:ascii="Arial" w:eastAsia="Times New Roman" w:hAnsi="Arial" w:cs="Arial"/>
          <w:color w:val="000000" w:themeColor="text1"/>
          <w:lang w:eastAsia="en-GB"/>
        </w:rPr>
        <w:t xml:space="preserve">the detailed guidance and </w:t>
      </w:r>
      <w:r w:rsidRPr="00AA1EB0">
        <w:rPr>
          <w:rFonts w:ascii="Arial" w:eastAsia="Times New Roman" w:hAnsi="Arial" w:cs="Arial"/>
          <w:color w:val="000000" w:themeColor="text1"/>
          <w:lang w:eastAsia="en-GB"/>
        </w:rPr>
        <w:t xml:space="preserve">criteria. </w:t>
      </w:r>
    </w:p>
    <w:p w14:paraId="3DBF3599" w14:textId="77777777" w:rsidR="004273FD" w:rsidRPr="00AA1EB0" w:rsidRDefault="004273FD"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In February 2018, the panel met to review and agree its advice to panels on the guidance and criteria, and to consider the future role of IDAP.</w:t>
      </w:r>
    </w:p>
    <w:p w14:paraId="00FFD778" w14:textId="77777777" w:rsidR="00872E77" w:rsidRDefault="004273FD" w:rsidP="003A3BEE">
      <w:pPr>
        <w:numPr>
          <w:ilvl w:val="1"/>
          <w:numId w:val="2"/>
        </w:numPr>
        <w:spacing w:after="0" w:line="300" w:lineRule="atLeast"/>
        <w:ind w:left="1134" w:hanging="567"/>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In November 2018, the panel held its final meeting of the criteria phase to review responses to the consultation on</w:t>
      </w:r>
      <w:r w:rsidR="00BD51F2" w:rsidRPr="00AA1EB0">
        <w:rPr>
          <w:rFonts w:ascii="Arial" w:eastAsia="Times New Roman" w:hAnsi="Arial" w:cs="Arial"/>
          <w:color w:val="000000" w:themeColor="text1"/>
          <w:lang w:eastAsia="en-GB"/>
        </w:rPr>
        <w:t xml:space="preserve"> the</w:t>
      </w:r>
      <w:r w:rsidRPr="00AA1EB0">
        <w:rPr>
          <w:rFonts w:ascii="Arial" w:eastAsia="Times New Roman" w:hAnsi="Arial" w:cs="Arial"/>
          <w:color w:val="000000" w:themeColor="text1"/>
          <w:lang w:eastAsia="en-GB"/>
        </w:rPr>
        <w:t xml:space="preserve"> guidance and criteria, and to advise on assessment phase processes for supporting IDR.</w:t>
      </w:r>
    </w:p>
    <w:p w14:paraId="16260D96" w14:textId="77777777" w:rsidR="00872E77" w:rsidRDefault="00872E77" w:rsidP="007B29A2">
      <w:pPr>
        <w:spacing w:after="0" w:line="300" w:lineRule="atLeast"/>
        <w:ind w:left="792"/>
        <w:contextualSpacing/>
        <w:rPr>
          <w:rFonts w:ascii="Arial" w:eastAsia="Times New Roman" w:hAnsi="Arial" w:cs="Arial"/>
          <w:color w:val="000000" w:themeColor="text1"/>
          <w:lang w:eastAsia="en-GB"/>
        </w:rPr>
      </w:pPr>
    </w:p>
    <w:p w14:paraId="16792C79" w14:textId="691516D4" w:rsidR="00872E77" w:rsidRPr="00AA1EB0" w:rsidRDefault="00872E77" w:rsidP="003A3BEE">
      <w:pPr>
        <w:numPr>
          <w:ilvl w:val="0"/>
          <w:numId w:val="2"/>
        </w:numPr>
        <w:spacing w:after="0" w:line="300" w:lineRule="atLeast"/>
        <w:ind w:left="0" w:firstLine="0"/>
        <w:contextualSpacing/>
        <w:rPr>
          <w:rFonts w:ascii="Arial" w:eastAsia="Times New Roman" w:hAnsi="Arial" w:cs="Arial"/>
          <w:color w:val="000000" w:themeColor="text1"/>
          <w:lang w:eastAsia="en-GB"/>
        </w:rPr>
      </w:pPr>
      <w:r>
        <w:rPr>
          <w:rFonts w:ascii="Arial" w:eastAsia="Times New Roman" w:hAnsi="Arial" w:cs="Arial"/>
          <w:color w:val="000000" w:themeColor="text1"/>
          <w:lang w:eastAsia="en-GB"/>
        </w:rPr>
        <w:t>Throughout th</w:t>
      </w:r>
      <w:r w:rsidR="00C44563">
        <w:rPr>
          <w:rFonts w:ascii="Arial" w:eastAsia="Times New Roman" w:hAnsi="Arial" w:cs="Arial"/>
          <w:color w:val="000000" w:themeColor="text1"/>
          <w:lang w:eastAsia="en-GB"/>
        </w:rPr>
        <w:t>is time</w:t>
      </w:r>
      <w:r>
        <w:rPr>
          <w:rFonts w:ascii="Arial" w:eastAsia="Times New Roman" w:hAnsi="Arial" w:cs="Arial"/>
          <w:color w:val="000000" w:themeColor="text1"/>
          <w:lang w:eastAsia="en-GB"/>
        </w:rPr>
        <w:t xml:space="preserve"> panel members</w:t>
      </w:r>
      <w:r w:rsidR="00C44563">
        <w:rPr>
          <w:rFonts w:ascii="Arial" w:eastAsia="Times New Roman" w:hAnsi="Arial" w:cs="Arial"/>
          <w:color w:val="000000" w:themeColor="text1"/>
          <w:lang w:eastAsia="en-GB"/>
        </w:rPr>
        <w:t>,</w:t>
      </w:r>
      <w:r>
        <w:rPr>
          <w:rFonts w:ascii="Arial" w:eastAsia="Times New Roman" w:hAnsi="Arial" w:cs="Arial"/>
          <w:color w:val="000000" w:themeColor="text1"/>
          <w:lang w:eastAsia="en-GB"/>
        </w:rPr>
        <w:t xml:space="preserve"> in particular the chair, attended a range of additional meetings to </w:t>
      </w:r>
      <w:r w:rsidR="00C44563">
        <w:rPr>
          <w:rFonts w:ascii="Arial" w:eastAsia="Times New Roman" w:hAnsi="Arial" w:cs="Arial"/>
          <w:color w:val="000000" w:themeColor="text1"/>
          <w:lang w:eastAsia="en-GB"/>
        </w:rPr>
        <w:t>liaise with colleagues and the wider community</w:t>
      </w:r>
      <w:r w:rsidR="00AD1534">
        <w:rPr>
          <w:rFonts w:ascii="Arial" w:eastAsia="Times New Roman" w:hAnsi="Arial" w:cs="Arial"/>
          <w:color w:val="000000" w:themeColor="text1"/>
          <w:lang w:eastAsia="en-GB"/>
        </w:rPr>
        <w:t>,</w:t>
      </w:r>
      <w:r w:rsidR="00C44563">
        <w:rPr>
          <w:rFonts w:ascii="Arial" w:eastAsia="Times New Roman" w:hAnsi="Arial" w:cs="Arial"/>
          <w:color w:val="000000" w:themeColor="text1"/>
          <w:lang w:eastAsia="en-GB"/>
        </w:rPr>
        <w:t xml:space="preserve"> </w:t>
      </w:r>
      <w:r w:rsidR="00AD1534">
        <w:rPr>
          <w:rFonts w:ascii="Arial" w:eastAsia="Times New Roman" w:hAnsi="Arial" w:cs="Arial"/>
          <w:color w:val="000000" w:themeColor="text1"/>
          <w:lang w:eastAsia="en-GB"/>
        </w:rPr>
        <w:t xml:space="preserve">both </w:t>
      </w:r>
      <w:r w:rsidR="00C44563">
        <w:rPr>
          <w:rFonts w:ascii="Arial" w:eastAsia="Times New Roman" w:hAnsi="Arial" w:cs="Arial"/>
          <w:color w:val="000000" w:themeColor="text1"/>
          <w:lang w:eastAsia="en-GB"/>
        </w:rPr>
        <w:t xml:space="preserve">to represent the work of the panel and to engage with others regarding IDR in the REF. This included </w:t>
      </w:r>
      <w:r w:rsidR="006F2EBA">
        <w:rPr>
          <w:rFonts w:ascii="Arial" w:eastAsia="Times New Roman" w:hAnsi="Arial" w:cs="Arial"/>
          <w:color w:val="000000" w:themeColor="text1"/>
          <w:lang w:eastAsia="en-GB"/>
        </w:rPr>
        <w:t xml:space="preserve">representing IDAP at </w:t>
      </w:r>
      <w:r w:rsidR="00C44563">
        <w:rPr>
          <w:rFonts w:ascii="Arial" w:eastAsia="Times New Roman" w:hAnsi="Arial" w:cs="Arial"/>
          <w:color w:val="000000" w:themeColor="text1"/>
          <w:lang w:eastAsia="en-GB"/>
        </w:rPr>
        <w:t>meetings of the main panel chairs, attending the Forum for Responsible Research Metrics (FFRRM), attending REF sub-panel meetings to provide an overview of IDAP’s considerations, and convening a first meeting of the IDR network, consisting of IDAP, sub-panel IDR advisers and main panel IDR members.</w:t>
      </w:r>
    </w:p>
    <w:p w14:paraId="4DDCB750" w14:textId="77777777" w:rsidR="00AA022E" w:rsidRPr="00AA1EB0" w:rsidRDefault="00AA022E" w:rsidP="007B29A2">
      <w:pPr>
        <w:spacing w:after="0" w:line="300" w:lineRule="atLeast"/>
        <w:rPr>
          <w:rFonts w:ascii="Arial" w:hAnsi="Arial" w:cs="Arial"/>
          <w:b/>
        </w:rPr>
      </w:pPr>
    </w:p>
    <w:p w14:paraId="27716516" w14:textId="6AC4A1CB" w:rsidR="00626B80" w:rsidRPr="008A4C66" w:rsidRDefault="00626B80" w:rsidP="0034062C">
      <w:pPr>
        <w:pStyle w:val="Heading1"/>
        <w:rPr>
          <w:rFonts w:ascii="Arial" w:hAnsi="Arial" w:cs="Arial"/>
          <w:b/>
          <w:color w:val="auto"/>
          <w:sz w:val="24"/>
          <w:szCs w:val="21"/>
        </w:rPr>
      </w:pPr>
      <w:bookmarkStart w:id="9" w:name="_Toc3200571"/>
      <w:r w:rsidRPr="008A4C66">
        <w:rPr>
          <w:rFonts w:ascii="Arial" w:hAnsi="Arial" w:cs="Arial"/>
          <w:b/>
          <w:color w:val="auto"/>
          <w:sz w:val="24"/>
          <w:szCs w:val="21"/>
        </w:rPr>
        <w:t>P</w:t>
      </w:r>
      <w:r w:rsidR="000A39B5" w:rsidRPr="008A4C66">
        <w:rPr>
          <w:rFonts w:ascii="Arial" w:hAnsi="Arial" w:cs="Arial"/>
          <w:b/>
          <w:color w:val="auto"/>
          <w:sz w:val="24"/>
          <w:szCs w:val="21"/>
        </w:rPr>
        <w:t>ar</w:t>
      </w:r>
      <w:r w:rsidRPr="008A4C66">
        <w:rPr>
          <w:rFonts w:ascii="Arial" w:hAnsi="Arial" w:cs="Arial"/>
          <w:b/>
          <w:color w:val="auto"/>
          <w:sz w:val="24"/>
          <w:szCs w:val="21"/>
        </w:rPr>
        <w:t>t</w:t>
      </w:r>
      <w:r w:rsidR="007D66D8" w:rsidRPr="008A4C66">
        <w:rPr>
          <w:rFonts w:ascii="Arial" w:hAnsi="Arial" w:cs="Arial"/>
          <w:b/>
          <w:color w:val="auto"/>
          <w:sz w:val="24"/>
          <w:szCs w:val="21"/>
        </w:rPr>
        <w:t xml:space="preserve"> </w:t>
      </w:r>
      <w:r w:rsidRPr="008A4C66">
        <w:rPr>
          <w:rFonts w:ascii="Arial" w:hAnsi="Arial" w:cs="Arial"/>
          <w:b/>
          <w:color w:val="auto"/>
          <w:sz w:val="24"/>
          <w:szCs w:val="21"/>
        </w:rPr>
        <w:t>1</w:t>
      </w:r>
      <w:r w:rsidR="000A39B5" w:rsidRPr="008A4C66">
        <w:rPr>
          <w:rFonts w:ascii="Arial" w:hAnsi="Arial" w:cs="Arial"/>
          <w:b/>
          <w:color w:val="auto"/>
          <w:sz w:val="24"/>
          <w:szCs w:val="21"/>
        </w:rPr>
        <w:t>:</w:t>
      </w:r>
      <w:r w:rsidRPr="008A4C66">
        <w:rPr>
          <w:rFonts w:ascii="Arial" w:hAnsi="Arial" w:cs="Arial"/>
          <w:b/>
          <w:color w:val="auto"/>
          <w:sz w:val="24"/>
          <w:szCs w:val="21"/>
        </w:rPr>
        <w:t xml:space="preserve"> Background</w:t>
      </w:r>
      <w:bookmarkEnd w:id="9"/>
    </w:p>
    <w:p w14:paraId="5C084A41" w14:textId="6919A74E" w:rsidR="007E2363" w:rsidRPr="00AA1EB0" w:rsidRDefault="00621B47" w:rsidP="003A3BEE">
      <w:pPr>
        <w:numPr>
          <w:ilvl w:val="0"/>
          <w:numId w:val="2"/>
        </w:numPr>
        <w:spacing w:after="0" w:line="300" w:lineRule="atLeast"/>
        <w:ind w:left="0" w:firstLine="0"/>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 xml:space="preserve">This section provides a brief examination of the background to </w:t>
      </w:r>
      <w:r w:rsidR="00C64C48">
        <w:rPr>
          <w:rFonts w:ascii="Arial" w:eastAsia="Times New Roman" w:hAnsi="Arial" w:cs="Arial"/>
          <w:color w:val="000000" w:themeColor="text1"/>
          <w:lang w:eastAsia="en-GB"/>
        </w:rPr>
        <w:t>our</w:t>
      </w:r>
      <w:r w:rsidR="00C64C48" w:rsidRPr="00AA1EB0">
        <w:rPr>
          <w:rFonts w:ascii="Arial" w:eastAsia="Times New Roman" w:hAnsi="Arial" w:cs="Arial"/>
          <w:color w:val="000000" w:themeColor="text1"/>
          <w:lang w:eastAsia="en-GB"/>
        </w:rPr>
        <w:t xml:space="preserve"> </w:t>
      </w:r>
      <w:r w:rsidRPr="00AA1EB0">
        <w:rPr>
          <w:rFonts w:ascii="Arial" w:eastAsia="Times New Roman" w:hAnsi="Arial" w:cs="Arial"/>
          <w:color w:val="000000" w:themeColor="text1"/>
          <w:lang w:eastAsia="en-GB"/>
        </w:rPr>
        <w:t>work</w:t>
      </w:r>
      <w:r w:rsidR="00315330" w:rsidRPr="00AA1EB0">
        <w:rPr>
          <w:rFonts w:ascii="Arial" w:eastAsia="Times New Roman" w:hAnsi="Arial" w:cs="Arial"/>
          <w:color w:val="000000" w:themeColor="text1"/>
          <w:lang w:eastAsia="en-GB"/>
        </w:rPr>
        <w:t>, including</w:t>
      </w:r>
      <w:r w:rsidRPr="00AA1EB0">
        <w:rPr>
          <w:rFonts w:ascii="Arial" w:eastAsia="Times New Roman" w:hAnsi="Arial" w:cs="Arial"/>
          <w:color w:val="000000" w:themeColor="text1"/>
          <w:lang w:eastAsia="en-GB"/>
        </w:rPr>
        <w:t xml:space="preserve"> evidence </w:t>
      </w:r>
      <w:r w:rsidR="007E2363" w:rsidRPr="00AA1EB0">
        <w:rPr>
          <w:rFonts w:ascii="Arial" w:eastAsia="Times New Roman" w:hAnsi="Arial" w:cs="Arial"/>
          <w:color w:val="000000" w:themeColor="text1"/>
          <w:lang w:eastAsia="en-GB"/>
        </w:rPr>
        <w:t>regarding the assessment of IDR within REF 2014, and perceptions of the research community</w:t>
      </w:r>
      <w:r w:rsidR="000A3FE1">
        <w:rPr>
          <w:rFonts w:ascii="Arial" w:eastAsia="Times New Roman" w:hAnsi="Arial" w:cs="Arial"/>
          <w:color w:val="000000" w:themeColor="text1"/>
          <w:lang w:eastAsia="en-GB"/>
        </w:rPr>
        <w:t xml:space="preserve">. </w:t>
      </w:r>
    </w:p>
    <w:p w14:paraId="45158105" w14:textId="77777777" w:rsidR="00050AEA" w:rsidRPr="00AA1EB0" w:rsidRDefault="00050AEA" w:rsidP="003A3BEE">
      <w:pPr>
        <w:spacing w:after="0" w:line="300" w:lineRule="atLeast"/>
        <w:contextualSpacing/>
        <w:rPr>
          <w:rFonts w:ascii="Arial" w:eastAsia="Times New Roman" w:hAnsi="Arial" w:cs="Arial"/>
          <w:color w:val="000000" w:themeColor="text1"/>
          <w:lang w:eastAsia="en-GB"/>
        </w:rPr>
      </w:pPr>
    </w:p>
    <w:p w14:paraId="105D2928" w14:textId="29838782" w:rsidR="00621B47" w:rsidRPr="00AA1EB0" w:rsidRDefault="00621B47" w:rsidP="003A3BEE">
      <w:pPr>
        <w:numPr>
          <w:ilvl w:val="0"/>
          <w:numId w:val="2"/>
        </w:numPr>
        <w:spacing w:after="0" w:line="300" w:lineRule="atLeast"/>
        <w:ind w:left="0" w:firstLine="0"/>
        <w:contextualSpacing/>
        <w:rPr>
          <w:rFonts w:ascii="Arial" w:eastAsia="Times New Roman" w:hAnsi="Arial" w:cs="Arial"/>
          <w:i/>
          <w:color w:val="000000" w:themeColor="text1"/>
          <w:lang w:eastAsia="en-GB"/>
        </w:rPr>
      </w:pPr>
      <w:r w:rsidRPr="00AA1EB0">
        <w:rPr>
          <w:rFonts w:ascii="Arial" w:eastAsia="Times New Roman" w:hAnsi="Arial" w:cs="Arial"/>
          <w:color w:val="000000" w:themeColor="text1"/>
          <w:lang w:eastAsia="en-GB"/>
        </w:rPr>
        <w:t>Analysis</w:t>
      </w:r>
      <w:r w:rsidR="00AD1534">
        <w:rPr>
          <w:rFonts w:ascii="Arial" w:eastAsia="Times New Roman" w:hAnsi="Arial" w:cs="Arial"/>
          <w:color w:val="000000" w:themeColor="text1"/>
          <w:lang w:eastAsia="en-GB"/>
        </w:rPr>
        <w:t xml:space="preserve"> carried out by </w:t>
      </w:r>
      <w:r w:rsidR="00AD1534" w:rsidRPr="00AD1534">
        <w:rPr>
          <w:rFonts w:ascii="Arial" w:eastAsia="Times New Roman" w:hAnsi="Arial" w:cs="Arial"/>
          <w:color w:val="000000" w:themeColor="text1"/>
          <w:lang w:eastAsia="en-GB"/>
        </w:rPr>
        <w:t>HEFCE’s Analytical Services Group</w:t>
      </w:r>
      <w:r w:rsidRPr="00AA1EB0">
        <w:rPr>
          <w:rFonts w:ascii="Arial" w:eastAsia="Times New Roman" w:hAnsi="Arial" w:cs="Arial"/>
          <w:color w:val="000000" w:themeColor="text1"/>
          <w:lang w:eastAsia="en-GB"/>
        </w:rPr>
        <w:t xml:space="preserve"> of submissions to REF 2014 identified that there was parity of assessment by the panels and no indication of more or less favourable treatment for outputs identified as IDR</w:t>
      </w:r>
      <w:r w:rsidR="00AD1534">
        <w:rPr>
          <w:rStyle w:val="FootnoteReference"/>
          <w:rFonts w:ascii="Arial" w:eastAsia="Times New Roman" w:hAnsi="Arial" w:cs="Arial"/>
          <w:color w:val="000000" w:themeColor="text1"/>
          <w:lang w:eastAsia="en-GB"/>
        </w:rPr>
        <w:footnoteReference w:id="3"/>
      </w:r>
      <w:r w:rsidRPr="00AA1EB0">
        <w:rPr>
          <w:rFonts w:ascii="Arial" w:eastAsia="Times New Roman" w:hAnsi="Arial" w:cs="Arial"/>
          <w:color w:val="000000" w:themeColor="text1"/>
          <w:lang w:eastAsia="en-GB"/>
        </w:rPr>
        <w:t>. Additionally, a significant proportion of the impact case studies submitted (nearly two thirds) were underpinned by some level of interdisciplinary work</w:t>
      </w:r>
      <w:r w:rsidR="00E97A7E" w:rsidRPr="00AA1EB0">
        <w:rPr>
          <w:rStyle w:val="FootnoteReference"/>
          <w:rFonts w:ascii="Arial" w:eastAsia="Times New Roman" w:hAnsi="Arial" w:cs="Arial"/>
          <w:color w:val="000000" w:themeColor="text1"/>
          <w:lang w:eastAsia="en-GB"/>
        </w:rPr>
        <w:footnoteReference w:id="4"/>
      </w:r>
      <w:r w:rsidR="000B08C8">
        <w:rPr>
          <w:rFonts w:ascii="Arial" w:eastAsia="Times New Roman" w:hAnsi="Arial" w:cs="Arial"/>
          <w:color w:val="000000" w:themeColor="text1"/>
          <w:lang w:eastAsia="en-GB"/>
        </w:rPr>
        <w:t xml:space="preserve">. The </w:t>
      </w:r>
      <w:r w:rsidR="00AD1534">
        <w:rPr>
          <w:rFonts w:ascii="Arial" w:eastAsia="Times New Roman" w:hAnsi="Arial" w:cs="Arial"/>
          <w:color w:val="000000" w:themeColor="text1"/>
          <w:lang w:eastAsia="en-GB"/>
        </w:rPr>
        <w:t>significant</w:t>
      </w:r>
      <w:r w:rsidR="000B08C8">
        <w:rPr>
          <w:rFonts w:ascii="Arial" w:eastAsia="Times New Roman" w:hAnsi="Arial" w:cs="Arial"/>
          <w:color w:val="000000" w:themeColor="text1"/>
          <w:lang w:eastAsia="en-GB"/>
        </w:rPr>
        <w:t xml:space="preserve"> impact of IDR case studies was highlighted in the report of the independent review of metrics in research assessment undertaken in 2015</w:t>
      </w:r>
      <w:r w:rsidR="000B08C8">
        <w:rPr>
          <w:rStyle w:val="FootnoteReference"/>
          <w:rFonts w:ascii="Arial" w:eastAsia="Times New Roman" w:hAnsi="Arial" w:cs="Arial"/>
          <w:color w:val="000000" w:themeColor="text1"/>
          <w:lang w:eastAsia="en-GB"/>
        </w:rPr>
        <w:footnoteReference w:id="5"/>
      </w:r>
      <w:r w:rsidR="00AD6542" w:rsidRPr="00AA1EB0">
        <w:rPr>
          <w:rFonts w:ascii="Arial" w:eastAsia="Times New Roman" w:hAnsi="Arial" w:cs="Arial"/>
          <w:color w:val="000000" w:themeColor="text1"/>
          <w:lang w:eastAsia="en-GB"/>
        </w:rPr>
        <w:t>.</w:t>
      </w:r>
      <w:r w:rsidR="000A3FE1">
        <w:rPr>
          <w:rFonts w:ascii="Arial" w:eastAsia="Times New Roman" w:hAnsi="Arial" w:cs="Arial"/>
          <w:color w:val="000000" w:themeColor="text1"/>
          <w:lang w:eastAsia="en-GB"/>
        </w:rPr>
        <w:t xml:space="preserve"> </w:t>
      </w:r>
    </w:p>
    <w:p w14:paraId="6100B008" w14:textId="77777777" w:rsidR="00621B47" w:rsidRPr="00AA1EB0" w:rsidRDefault="00621B47" w:rsidP="003A3BEE">
      <w:pPr>
        <w:spacing w:after="0" w:line="300" w:lineRule="atLeast"/>
        <w:contextualSpacing/>
        <w:rPr>
          <w:rFonts w:ascii="Arial" w:eastAsia="Times New Roman" w:hAnsi="Arial" w:cs="Arial"/>
          <w:color w:val="000000" w:themeColor="text1"/>
          <w:lang w:eastAsia="en-GB"/>
        </w:rPr>
      </w:pPr>
    </w:p>
    <w:p w14:paraId="0D606271" w14:textId="247E011E" w:rsidR="00621B47" w:rsidRPr="00AA1EB0" w:rsidRDefault="00621B47" w:rsidP="003A3BEE">
      <w:pPr>
        <w:numPr>
          <w:ilvl w:val="0"/>
          <w:numId w:val="2"/>
        </w:numPr>
        <w:spacing w:after="0" w:line="300" w:lineRule="atLeast"/>
        <w:ind w:left="0" w:firstLine="0"/>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 xml:space="preserve">However, </w:t>
      </w:r>
      <w:r w:rsidR="00A12CA7" w:rsidRPr="00AA1EB0">
        <w:rPr>
          <w:rFonts w:ascii="Arial" w:eastAsia="Times New Roman" w:hAnsi="Arial" w:cs="Arial"/>
          <w:color w:val="000000" w:themeColor="text1"/>
          <w:lang w:eastAsia="en-GB"/>
        </w:rPr>
        <w:t xml:space="preserve">a citation-based </w:t>
      </w:r>
      <w:r w:rsidRPr="00AA1EB0">
        <w:rPr>
          <w:rFonts w:ascii="Arial" w:eastAsia="Times New Roman" w:hAnsi="Arial" w:cs="Arial"/>
          <w:color w:val="000000" w:themeColor="text1"/>
          <w:lang w:eastAsia="en-GB"/>
        </w:rPr>
        <w:t>analysis of REF 2014 submissions suggested a proportional underrepresentation of IDR outputs in REF submissions</w:t>
      </w:r>
      <w:r w:rsidR="00A12CA7" w:rsidRPr="00AA1EB0">
        <w:rPr>
          <w:rStyle w:val="FootnoteReference"/>
          <w:rFonts w:ascii="Arial" w:eastAsia="Times New Roman" w:hAnsi="Arial" w:cs="Arial"/>
          <w:color w:val="000000" w:themeColor="text1"/>
          <w:lang w:eastAsia="en-GB"/>
        </w:rPr>
        <w:footnoteReference w:id="6"/>
      </w:r>
      <w:r w:rsidR="0029177F">
        <w:rPr>
          <w:rFonts w:ascii="Arial" w:eastAsia="Times New Roman" w:hAnsi="Arial" w:cs="Arial"/>
          <w:color w:val="000000" w:themeColor="text1"/>
          <w:lang w:eastAsia="en-GB"/>
        </w:rPr>
        <w:t>,</w:t>
      </w:r>
      <w:r w:rsidR="00A12CA7" w:rsidRPr="00AA1EB0">
        <w:rPr>
          <w:rFonts w:ascii="Arial" w:eastAsia="Times New Roman" w:hAnsi="Arial" w:cs="Arial"/>
          <w:color w:val="000000" w:themeColor="text1"/>
          <w:lang w:eastAsia="en-GB"/>
        </w:rPr>
        <w:t xml:space="preserve"> </w:t>
      </w:r>
      <w:r w:rsidR="00837DD5" w:rsidRPr="00AA1EB0">
        <w:rPr>
          <w:rFonts w:ascii="Arial" w:eastAsia="Times New Roman" w:hAnsi="Arial" w:cs="Arial"/>
          <w:color w:val="000000" w:themeColor="text1"/>
          <w:lang w:eastAsia="en-GB"/>
        </w:rPr>
        <w:t>indicating</w:t>
      </w:r>
      <w:r w:rsidRPr="00AA1EB0">
        <w:rPr>
          <w:rFonts w:ascii="Arial" w:eastAsia="Times New Roman" w:hAnsi="Arial" w:cs="Arial"/>
          <w:color w:val="000000" w:themeColor="text1"/>
          <w:lang w:eastAsia="en-GB"/>
        </w:rPr>
        <w:t xml:space="preserve"> a confidence issue with submitting IDR outputs in REF</w:t>
      </w:r>
      <w:r w:rsidR="00837DD5" w:rsidRPr="00AA1EB0">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 xml:space="preserve"> </w:t>
      </w:r>
      <w:r w:rsidR="00837DD5" w:rsidRPr="00AA1EB0">
        <w:rPr>
          <w:rFonts w:ascii="Arial" w:eastAsia="Times New Roman" w:hAnsi="Arial" w:cs="Arial"/>
          <w:color w:val="000000" w:themeColor="text1"/>
          <w:lang w:eastAsia="en-GB"/>
        </w:rPr>
        <w:t xml:space="preserve">This </w:t>
      </w:r>
      <w:r w:rsidRPr="00AA1EB0">
        <w:rPr>
          <w:rFonts w:ascii="Arial" w:eastAsia="Times New Roman" w:hAnsi="Arial" w:cs="Arial"/>
          <w:color w:val="000000" w:themeColor="text1"/>
          <w:lang w:eastAsia="en-GB"/>
        </w:rPr>
        <w:t xml:space="preserve">was supported </w:t>
      </w:r>
      <w:r w:rsidR="00DE7593" w:rsidRPr="00AA1EB0">
        <w:rPr>
          <w:rFonts w:ascii="Arial" w:eastAsia="Times New Roman" w:hAnsi="Arial" w:cs="Arial"/>
          <w:color w:val="000000" w:themeColor="text1"/>
          <w:lang w:eastAsia="en-GB"/>
        </w:rPr>
        <w:t xml:space="preserve">by </w:t>
      </w:r>
      <w:r w:rsidRPr="00AA1EB0">
        <w:rPr>
          <w:rFonts w:ascii="Arial" w:eastAsia="Times New Roman" w:hAnsi="Arial" w:cs="Arial"/>
          <w:color w:val="000000" w:themeColor="text1"/>
          <w:lang w:eastAsia="en-GB"/>
        </w:rPr>
        <w:t>the responses to the call for evidence as part of the Stern review</w:t>
      </w:r>
      <w:r w:rsidR="00837DD5" w:rsidRPr="00AA1EB0">
        <w:rPr>
          <w:rFonts w:ascii="Arial" w:eastAsia="Times New Roman" w:hAnsi="Arial" w:cs="Arial"/>
          <w:color w:val="000000" w:themeColor="text1"/>
          <w:lang w:eastAsia="en-GB"/>
        </w:rPr>
        <w:t xml:space="preserve">, which </w:t>
      </w:r>
      <w:r w:rsidR="00A667C8" w:rsidRPr="00AA1EB0">
        <w:rPr>
          <w:rFonts w:ascii="Arial" w:eastAsia="Times New Roman" w:hAnsi="Arial" w:cs="Arial"/>
          <w:color w:val="000000" w:themeColor="text1"/>
          <w:lang w:eastAsia="en-GB"/>
        </w:rPr>
        <w:t>identified the</w:t>
      </w:r>
      <w:r w:rsidRPr="00AA1EB0">
        <w:rPr>
          <w:rFonts w:ascii="Arial" w:eastAsia="Times New Roman" w:hAnsi="Arial" w:cs="Arial"/>
          <w:color w:val="000000" w:themeColor="text1"/>
          <w:lang w:eastAsia="en-GB"/>
        </w:rPr>
        <w:t xml:space="preserve"> disciplinary UOA structure of the REF as a </w:t>
      </w:r>
      <w:r w:rsidR="00837DD5" w:rsidRPr="00AA1EB0">
        <w:rPr>
          <w:rFonts w:ascii="Arial" w:eastAsia="Times New Roman" w:hAnsi="Arial" w:cs="Arial"/>
          <w:color w:val="000000" w:themeColor="text1"/>
          <w:lang w:eastAsia="en-GB"/>
        </w:rPr>
        <w:t xml:space="preserve">potential </w:t>
      </w:r>
      <w:r w:rsidRPr="00AA1EB0">
        <w:rPr>
          <w:rFonts w:ascii="Arial" w:eastAsia="Times New Roman" w:hAnsi="Arial" w:cs="Arial"/>
          <w:color w:val="000000" w:themeColor="text1"/>
          <w:lang w:eastAsia="en-GB"/>
        </w:rPr>
        <w:t xml:space="preserve">barrier to submission of IDR. </w:t>
      </w:r>
    </w:p>
    <w:p w14:paraId="45AD4273" w14:textId="77777777" w:rsidR="00621B47" w:rsidRPr="00AA1EB0" w:rsidRDefault="00621B47" w:rsidP="003A3BEE">
      <w:pPr>
        <w:spacing w:after="0" w:line="300" w:lineRule="atLeast"/>
        <w:contextualSpacing/>
        <w:rPr>
          <w:rFonts w:ascii="Arial" w:hAnsi="Arial" w:cs="Arial"/>
          <w:color w:val="000000"/>
        </w:rPr>
      </w:pPr>
    </w:p>
    <w:p w14:paraId="22DB0581" w14:textId="2B84FE92" w:rsidR="00477EE8" w:rsidRPr="00AA1EB0" w:rsidRDefault="00595D7E" w:rsidP="003A3BEE">
      <w:pPr>
        <w:numPr>
          <w:ilvl w:val="0"/>
          <w:numId w:val="2"/>
        </w:numPr>
        <w:spacing w:after="0" w:line="300" w:lineRule="atLeast"/>
        <w:ind w:left="0" w:firstLine="0"/>
        <w:contextualSpacing/>
        <w:rPr>
          <w:rFonts w:ascii="Arial" w:hAnsi="Arial" w:cs="Arial"/>
          <w:b/>
        </w:rPr>
      </w:pPr>
      <w:r w:rsidRPr="00AA1EB0">
        <w:rPr>
          <w:rFonts w:ascii="Arial" w:eastAsia="Times New Roman" w:hAnsi="Arial" w:cs="Arial"/>
          <w:color w:val="000000" w:themeColor="text1"/>
          <w:lang w:eastAsia="en-GB"/>
        </w:rPr>
        <w:t xml:space="preserve">The Stern review </w:t>
      </w:r>
      <w:r w:rsidR="000A3FE1">
        <w:rPr>
          <w:rFonts w:ascii="Arial" w:eastAsia="Times New Roman" w:hAnsi="Arial" w:cs="Arial"/>
          <w:color w:val="000000" w:themeColor="text1"/>
          <w:lang w:eastAsia="en-GB"/>
        </w:rPr>
        <w:t>took into account a range of evidence</w:t>
      </w:r>
      <w:r w:rsidR="000A3FE1" w:rsidRPr="00AA1EB0">
        <w:rPr>
          <w:rFonts w:ascii="Arial" w:eastAsia="Times New Roman" w:hAnsi="Arial" w:cs="Arial"/>
          <w:color w:val="000000" w:themeColor="text1"/>
          <w:vertAlign w:val="superscript"/>
          <w:lang w:eastAsia="en-GB"/>
        </w:rPr>
        <w:footnoteReference w:id="7"/>
      </w:r>
      <w:r w:rsidR="000A3FE1">
        <w:rPr>
          <w:rFonts w:ascii="Arial" w:eastAsia="Times New Roman" w:hAnsi="Arial" w:cs="Arial"/>
          <w:color w:val="000000" w:themeColor="text1"/>
          <w:lang w:eastAsia="en-GB"/>
        </w:rPr>
        <w:t xml:space="preserve"> and r</w:t>
      </w:r>
      <w:r w:rsidRPr="00AA1EB0">
        <w:rPr>
          <w:rFonts w:ascii="Arial" w:eastAsia="Times New Roman" w:hAnsi="Arial" w:cs="Arial"/>
          <w:color w:val="000000" w:themeColor="text1"/>
          <w:lang w:eastAsia="en-GB"/>
        </w:rPr>
        <w:t xml:space="preserve">ecognised that IDR </w:t>
      </w:r>
      <w:r w:rsidR="0029177F">
        <w:rPr>
          <w:rFonts w:ascii="Arial" w:eastAsia="Times New Roman" w:hAnsi="Arial" w:cs="Arial"/>
          <w:color w:val="000000" w:themeColor="text1"/>
          <w:lang w:eastAsia="en-GB"/>
        </w:rPr>
        <w:t>has</w:t>
      </w:r>
      <w:r w:rsidRPr="00AA1EB0">
        <w:rPr>
          <w:rFonts w:ascii="Arial" w:eastAsia="Times New Roman" w:hAnsi="Arial" w:cs="Arial"/>
          <w:color w:val="000000" w:themeColor="text1"/>
          <w:lang w:eastAsia="en-GB"/>
        </w:rPr>
        <w:t xml:space="preserve"> a significant role to play in addressing </w:t>
      </w:r>
      <w:r w:rsidR="0029177F">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grand challenges</w:t>
      </w:r>
      <w:r w:rsidR="0029177F">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 xml:space="preserve"> for the future, and that it enhances both academic and socio-economic creativity. </w:t>
      </w:r>
      <w:r w:rsidR="00621B47" w:rsidRPr="00AA1EB0">
        <w:rPr>
          <w:rFonts w:ascii="Arial" w:eastAsia="Times New Roman" w:hAnsi="Arial" w:cs="Arial"/>
          <w:color w:val="000000" w:themeColor="text1"/>
          <w:lang w:eastAsia="en-GB"/>
        </w:rPr>
        <w:t>In consequence, the review  set out a number of actions to build community confidence in submitting IDR outputs and to further embed IDR within the REF, including the appointment of interdisciplinary ‘champions’ on the expert panels, and explicit encouragement for the submission and identification of IDR in the REF</w:t>
      </w:r>
      <w:r w:rsidR="00C9561C" w:rsidRPr="00AA1EB0">
        <w:rPr>
          <w:rStyle w:val="FootnoteReference"/>
          <w:rFonts w:ascii="Arial" w:eastAsia="Times New Roman" w:hAnsi="Arial" w:cs="Arial"/>
          <w:color w:val="000000" w:themeColor="text1"/>
          <w:lang w:eastAsia="en-GB"/>
        </w:rPr>
        <w:footnoteReference w:id="8"/>
      </w:r>
      <w:r w:rsidR="00837DD5" w:rsidRPr="00AA1EB0">
        <w:rPr>
          <w:rFonts w:ascii="Arial" w:eastAsia="Times New Roman" w:hAnsi="Arial" w:cs="Arial"/>
          <w:color w:val="000000" w:themeColor="text1"/>
          <w:lang w:eastAsia="en-GB"/>
        </w:rPr>
        <w:t>.</w:t>
      </w:r>
      <w:r w:rsidR="00621B47" w:rsidRPr="00AA1EB0">
        <w:rPr>
          <w:rFonts w:ascii="Arial" w:eastAsia="Times New Roman" w:hAnsi="Arial" w:cs="Arial"/>
          <w:color w:val="000000" w:themeColor="text1"/>
          <w:lang w:eastAsia="en-GB"/>
        </w:rPr>
        <w:t xml:space="preserve"> </w:t>
      </w:r>
    </w:p>
    <w:p w14:paraId="476EE387" w14:textId="77777777" w:rsidR="00AA022E" w:rsidRPr="00AA1EB0" w:rsidRDefault="00AA022E" w:rsidP="007B29A2">
      <w:pPr>
        <w:spacing w:after="0" w:line="300" w:lineRule="atLeast"/>
        <w:ind w:left="360"/>
        <w:contextualSpacing/>
        <w:rPr>
          <w:rFonts w:ascii="Arial" w:hAnsi="Arial" w:cs="Arial"/>
        </w:rPr>
      </w:pPr>
    </w:p>
    <w:p w14:paraId="041B9EB1" w14:textId="6172389C" w:rsidR="00F14709" w:rsidRPr="00AA1EB0" w:rsidRDefault="00C0516B" w:rsidP="003A3BEE">
      <w:pPr>
        <w:numPr>
          <w:ilvl w:val="0"/>
          <w:numId w:val="2"/>
        </w:numPr>
        <w:spacing w:after="0" w:line="300" w:lineRule="atLeast"/>
        <w:ind w:left="0" w:firstLine="0"/>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 xml:space="preserve">Proposals for implementing these </w:t>
      </w:r>
      <w:r w:rsidR="00AA022E" w:rsidRPr="00AA1EB0">
        <w:rPr>
          <w:rFonts w:ascii="Arial" w:eastAsia="Times New Roman" w:hAnsi="Arial" w:cs="Arial"/>
          <w:color w:val="000000" w:themeColor="text1"/>
          <w:lang w:eastAsia="en-GB"/>
        </w:rPr>
        <w:t>recommendations</w:t>
      </w:r>
      <w:r w:rsidRPr="00AA1EB0">
        <w:rPr>
          <w:rFonts w:ascii="Arial" w:eastAsia="Times New Roman" w:hAnsi="Arial" w:cs="Arial"/>
          <w:color w:val="000000" w:themeColor="text1"/>
          <w:lang w:eastAsia="en-GB"/>
        </w:rPr>
        <w:t xml:space="preserve"> were included </w:t>
      </w:r>
      <w:r w:rsidR="00665D91" w:rsidRPr="00AA1EB0">
        <w:rPr>
          <w:rFonts w:ascii="Arial" w:eastAsia="Times New Roman" w:hAnsi="Arial" w:cs="Arial"/>
          <w:color w:val="000000" w:themeColor="text1"/>
          <w:lang w:eastAsia="en-GB"/>
        </w:rPr>
        <w:t xml:space="preserve">by the funding bodies </w:t>
      </w:r>
      <w:r w:rsidRPr="00AA1EB0">
        <w:rPr>
          <w:rFonts w:ascii="Arial" w:eastAsia="Times New Roman" w:hAnsi="Arial" w:cs="Arial"/>
          <w:color w:val="000000" w:themeColor="text1"/>
          <w:lang w:eastAsia="en-GB"/>
        </w:rPr>
        <w:t>in the 2016 Consultation on the Second Research Excellence Framework</w:t>
      </w:r>
      <w:r w:rsidR="00837DD5" w:rsidRPr="00AA1EB0">
        <w:rPr>
          <w:rFonts w:ascii="Arial" w:eastAsia="Times New Roman" w:hAnsi="Arial" w:cs="Arial"/>
          <w:color w:val="000000" w:themeColor="text1"/>
          <w:lang w:eastAsia="en-GB"/>
        </w:rPr>
        <w:t>, namely that:</w:t>
      </w:r>
      <w:r w:rsidR="00665D91" w:rsidRPr="00AA1EB0">
        <w:rPr>
          <w:rFonts w:ascii="Arial" w:eastAsia="Times New Roman" w:hAnsi="Arial" w:cs="Arial"/>
          <w:color w:val="000000" w:themeColor="text1"/>
          <w:lang w:eastAsia="en-GB"/>
        </w:rPr>
        <w:t xml:space="preserve"> </w:t>
      </w:r>
      <w:r w:rsidRPr="00AA1EB0">
        <w:rPr>
          <w:rFonts w:ascii="Arial" w:eastAsia="Times New Roman" w:hAnsi="Arial" w:cs="Arial"/>
          <w:color w:val="000000" w:themeColor="text1"/>
          <w:lang w:eastAsia="en-GB"/>
        </w:rPr>
        <w:t xml:space="preserve">there should be a role providing expertise and oversight </w:t>
      </w:r>
      <w:r w:rsidR="00AA022E" w:rsidRPr="00AA1EB0">
        <w:rPr>
          <w:rFonts w:ascii="Arial" w:eastAsia="Times New Roman" w:hAnsi="Arial" w:cs="Arial"/>
          <w:color w:val="000000" w:themeColor="text1"/>
          <w:lang w:eastAsia="en-GB"/>
        </w:rPr>
        <w:t xml:space="preserve">for </w:t>
      </w:r>
      <w:r w:rsidRPr="00AA1EB0">
        <w:rPr>
          <w:rFonts w:ascii="Arial" w:eastAsia="Times New Roman" w:hAnsi="Arial" w:cs="Arial"/>
          <w:color w:val="000000" w:themeColor="text1"/>
          <w:lang w:eastAsia="en-GB"/>
        </w:rPr>
        <w:t xml:space="preserve">assessment of IDR within each </w:t>
      </w:r>
      <w:r w:rsidR="00AA022E" w:rsidRPr="00AA1EB0">
        <w:rPr>
          <w:rFonts w:ascii="Arial" w:eastAsia="Times New Roman" w:hAnsi="Arial" w:cs="Arial"/>
          <w:color w:val="000000" w:themeColor="text1"/>
          <w:lang w:eastAsia="en-GB"/>
        </w:rPr>
        <w:t>sub-</w:t>
      </w:r>
      <w:r w:rsidRPr="00AA1EB0">
        <w:rPr>
          <w:rFonts w:ascii="Arial" w:eastAsia="Times New Roman" w:hAnsi="Arial" w:cs="Arial"/>
          <w:color w:val="000000" w:themeColor="text1"/>
          <w:lang w:eastAsia="en-GB"/>
        </w:rPr>
        <w:t>panel</w:t>
      </w:r>
      <w:r w:rsidR="00AA022E" w:rsidRPr="00AA1EB0">
        <w:rPr>
          <w:rFonts w:ascii="Arial" w:eastAsia="Times New Roman" w:hAnsi="Arial" w:cs="Arial"/>
          <w:color w:val="000000" w:themeColor="text1"/>
          <w:lang w:eastAsia="en-GB"/>
        </w:rPr>
        <w:t xml:space="preserve">; </w:t>
      </w:r>
      <w:r w:rsidRPr="00AA1EB0">
        <w:rPr>
          <w:rFonts w:ascii="Arial" w:eastAsia="Times New Roman" w:hAnsi="Arial" w:cs="Arial"/>
          <w:color w:val="000000" w:themeColor="text1"/>
          <w:lang w:eastAsia="en-GB"/>
        </w:rPr>
        <w:t xml:space="preserve">the IDR identifier </w:t>
      </w:r>
      <w:r w:rsidR="0029177F">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flag</w:t>
      </w:r>
      <w:r w:rsidR="0029177F">
        <w:rPr>
          <w:rFonts w:ascii="Arial" w:eastAsia="Times New Roman" w:hAnsi="Arial" w:cs="Arial"/>
          <w:color w:val="000000" w:themeColor="text1"/>
          <w:lang w:eastAsia="en-GB"/>
        </w:rPr>
        <w:t>’</w:t>
      </w:r>
      <w:r w:rsidR="00837DD5" w:rsidRPr="00AA1EB0">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 xml:space="preserve"> first used in </w:t>
      </w:r>
      <w:r w:rsidR="00AA022E" w:rsidRPr="00AA1EB0">
        <w:rPr>
          <w:rFonts w:ascii="Arial" w:eastAsia="Times New Roman" w:hAnsi="Arial" w:cs="Arial"/>
          <w:color w:val="000000" w:themeColor="text1"/>
          <w:lang w:eastAsia="en-GB"/>
        </w:rPr>
        <w:t xml:space="preserve">REF </w:t>
      </w:r>
      <w:r w:rsidRPr="00AA1EB0">
        <w:rPr>
          <w:rFonts w:ascii="Arial" w:eastAsia="Times New Roman" w:hAnsi="Arial" w:cs="Arial"/>
          <w:color w:val="000000" w:themeColor="text1"/>
          <w:lang w:eastAsia="en-GB"/>
        </w:rPr>
        <w:t>2014</w:t>
      </w:r>
      <w:r w:rsidR="00837DD5" w:rsidRPr="00AA1EB0">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 xml:space="preserve"> should be mandatory</w:t>
      </w:r>
      <w:r w:rsidR="009E117C" w:rsidRPr="00AA1EB0">
        <w:rPr>
          <w:rFonts w:ascii="Arial" w:eastAsia="Times New Roman" w:hAnsi="Arial" w:cs="Arial"/>
          <w:color w:val="000000" w:themeColor="text1"/>
          <w:lang w:eastAsia="en-GB"/>
        </w:rPr>
        <w:t>;</w:t>
      </w:r>
      <w:r w:rsidR="00AA022E" w:rsidRPr="00AA1EB0">
        <w:rPr>
          <w:rFonts w:ascii="Arial" w:eastAsia="Times New Roman" w:hAnsi="Arial" w:cs="Arial"/>
          <w:color w:val="000000" w:themeColor="text1"/>
          <w:lang w:eastAsia="en-GB"/>
        </w:rPr>
        <w:t xml:space="preserve"> </w:t>
      </w:r>
      <w:r w:rsidRPr="00AA1EB0">
        <w:rPr>
          <w:rFonts w:ascii="Arial" w:eastAsia="Times New Roman" w:hAnsi="Arial" w:cs="Arial"/>
          <w:color w:val="000000" w:themeColor="text1"/>
          <w:lang w:eastAsia="en-GB"/>
        </w:rPr>
        <w:t xml:space="preserve">and information on </w:t>
      </w:r>
      <w:r w:rsidR="00AA022E" w:rsidRPr="00AA1EB0">
        <w:rPr>
          <w:rFonts w:ascii="Arial" w:eastAsia="Times New Roman" w:hAnsi="Arial" w:cs="Arial"/>
          <w:color w:val="000000" w:themeColor="text1"/>
          <w:lang w:eastAsia="en-GB"/>
        </w:rPr>
        <w:t xml:space="preserve">each </w:t>
      </w:r>
      <w:r w:rsidRPr="00AA1EB0">
        <w:rPr>
          <w:rFonts w:ascii="Arial" w:eastAsia="Times New Roman" w:hAnsi="Arial" w:cs="Arial"/>
          <w:color w:val="000000" w:themeColor="text1"/>
          <w:lang w:eastAsia="en-GB"/>
        </w:rPr>
        <w:t>submitting unit</w:t>
      </w:r>
      <w:r w:rsidR="0029177F">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s approach to</w:t>
      </w:r>
      <w:r w:rsidR="00AA022E" w:rsidRPr="00AA1EB0">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 xml:space="preserve"> and support for IDR</w:t>
      </w:r>
      <w:r w:rsidR="00AA022E" w:rsidRPr="00AA1EB0">
        <w:rPr>
          <w:rFonts w:ascii="Arial" w:eastAsia="Times New Roman" w:hAnsi="Arial" w:cs="Arial"/>
          <w:color w:val="000000" w:themeColor="text1"/>
          <w:lang w:eastAsia="en-GB"/>
        </w:rPr>
        <w:t>,</w:t>
      </w:r>
      <w:r w:rsidRPr="00AA1EB0">
        <w:rPr>
          <w:rFonts w:ascii="Arial" w:eastAsia="Times New Roman" w:hAnsi="Arial" w:cs="Arial"/>
          <w:color w:val="000000" w:themeColor="text1"/>
          <w:lang w:eastAsia="en-GB"/>
        </w:rPr>
        <w:t xml:space="preserve"> should be required through the</w:t>
      </w:r>
      <w:r w:rsidR="00AA022E" w:rsidRPr="00AA1EB0">
        <w:rPr>
          <w:rFonts w:ascii="Arial" w:eastAsia="Times New Roman" w:hAnsi="Arial" w:cs="Arial"/>
          <w:color w:val="000000" w:themeColor="text1"/>
          <w:lang w:eastAsia="en-GB"/>
        </w:rPr>
        <w:t>ir</w:t>
      </w:r>
      <w:r w:rsidRPr="00AA1EB0">
        <w:rPr>
          <w:rFonts w:ascii="Arial" w:eastAsia="Times New Roman" w:hAnsi="Arial" w:cs="Arial"/>
          <w:color w:val="000000" w:themeColor="text1"/>
          <w:lang w:eastAsia="en-GB"/>
        </w:rPr>
        <w:t xml:space="preserve"> </w:t>
      </w:r>
      <w:r w:rsidR="009E117C" w:rsidRPr="00AA1EB0">
        <w:rPr>
          <w:rFonts w:ascii="Arial" w:eastAsia="Times New Roman" w:hAnsi="Arial" w:cs="Arial"/>
          <w:color w:val="000000" w:themeColor="text1"/>
          <w:lang w:eastAsia="en-GB"/>
        </w:rPr>
        <w:t>unit-level</w:t>
      </w:r>
      <w:r w:rsidRPr="00AA1EB0">
        <w:rPr>
          <w:rFonts w:ascii="Arial" w:eastAsia="Times New Roman" w:hAnsi="Arial" w:cs="Arial"/>
          <w:color w:val="000000" w:themeColor="text1"/>
          <w:lang w:eastAsia="en-GB"/>
        </w:rPr>
        <w:t xml:space="preserve"> environment </w:t>
      </w:r>
      <w:r w:rsidR="00AA022E" w:rsidRPr="00AA1EB0">
        <w:rPr>
          <w:rFonts w:ascii="Arial" w:eastAsia="Times New Roman" w:hAnsi="Arial" w:cs="Arial"/>
          <w:color w:val="000000" w:themeColor="text1"/>
          <w:lang w:eastAsia="en-GB"/>
        </w:rPr>
        <w:t>submission</w:t>
      </w:r>
      <w:r w:rsidRPr="00AA1EB0">
        <w:rPr>
          <w:rFonts w:ascii="Arial" w:eastAsia="Times New Roman" w:hAnsi="Arial" w:cs="Arial"/>
          <w:color w:val="000000" w:themeColor="text1"/>
          <w:lang w:eastAsia="en-GB"/>
        </w:rPr>
        <w:t xml:space="preserve">. </w:t>
      </w:r>
    </w:p>
    <w:p w14:paraId="32A3AE50" w14:textId="77777777" w:rsidR="00AA022E" w:rsidRPr="00AA1EB0" w:rsidRDefault="00AA022E" w:rsidP="003A3BEE">
      <w:pPr>
        <w:spacing w:after="0" w:line="300" w:lineRule="atLeast"/>
        <w:contextualSpacing/>
        <w:rPr>
          <w:rFonts w:ascii="Arial" w:eastAsia="Times New Roman" w:hAnsi="Arial" w:cs="Arial"/>
          <w:color w:val="000000" w:themeColor="text1"/>
          <w:lang w:eastAsia="en-GB"/>
        </w:rPr>
      </w:pPr>
    </w:p>
    <w:p w14:paraId="4C630DE0" w14:textId="7952C450" w:rsidR="00AA022E" w:rsidRPr="00AA1EB0" w:rsidRDefault="00C0516B" w:rsidP="003A3BEE">
      <w:pPr>
        <w:numPr>
          <w:ilvl w:val="0"/>
          <w:numId w:val="2"/>
        </w:numPr>
        <w:spacing w:after="0" w:line="300" w:lineRule="atLeast"/>
        <w:ind w:left="0" w:firstLine="0"/>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Fur</w:t>
      </w:r>
      <w:r w:rsidR="00F14709" w:rsidRPr="00AA1EB0">
        <w:rPr>
          <w:rFonts w:ascii="Arial" w:eastAsia="Times New Roman" w:hAnsi="Arial" w:cs="Arial"/>
          <w:color w:val="000000" w:themeColor="text1"/>
          <w:lang w:eastAsia="en-GB"/>
        </w:rPr>
        <w:t>t</w:t>
      </w:r>
      <w:r w:rsidRPr="00AA1EB0">
        <w:rPr>
          <w:rFonts w:ascii="Arial" w:eastAsia="Times New Roman" w:hAnsi="Arial" w:cs="Arial"/>
          <w:color w:val="000000" w:themeColor="text1"/>
          <w:lang w:eastAsia="en-GB"/>
        </w:rPr>
        <w:t>her proposals</w:t>
      </w:r>
      <w:r w:rsidR="00AA022E" w:rsidRPr="00AA1EB0">
        <w:rPr>
          <w:rFonts w:ascii="Arial" w:eastAsia="Times New Roman" w:hAnsi="Arial" w:cs="Arial"/>
          <w:color w:val="000000" w:themeColor="text1"/>
          <w:lang w:eastAsia="en-GB"/>
        </w:rPr>
        <w:t xml:space="preserve"> were made</w:t>
      </w:r>
      <w:r w:rsidR="00040915" w:rsidRPr="00AA1EB0">
        <w:rPr>
          <w:rFonts w:ascii="Arial" w:eastAsia="Times New Roman" w:hAnsi="Arial" w:cs="Arial"/>
          <w:color w:val="000000" w:themeColor="text1"/>
          <w:lang w:eastAsia="en-GB"/>
        </w:rPr>
        <w:t xml:space="preserve"> to </w:t>
      </w:r>
      <w:r w:rsidR="00837DD5" w:rsidRPr="00AA1EB0">
        <w:rPr>
          <w:rFonts w:ascii="Arial" w:eastAsia="Times New Roman" w:hAnsi="Arial" w:cs="Arial"/>
          <w:color w:val="000000" w:themeColor="text1"/>
          <w:lang w:eastAsia="en-GB"/>
        </w:rPr>
        <w:t xml:space="preserve">introduce </w:t>
      </w:r>
      <w:r w:rsidR="009E117C" w:rsidRPr="00AA1EB0">
        <w:rPr>
          <w:rFonts w:ascii="Arial" w:eastAsia="Times New Roman" w:hAnsi="Arial" w:cs="Arial"/>
          <w:color w:val="000000" w:themeColor="text1"/>
          <w:lang w:eastAsia="en-GB"/>
        </w:rPr>
        <w:t xml:space="preserve">submissions at </w:t>
      </w:r>
      <w:r w:rsidR="00040915" w:rsidRPr="00AA1EB0">
        <w:rPr>
          <w:rFonts w:ascii="Arial" w:eastAsia="Times New Roman" w:hAnsi="Arial" w:cs="Arial"/>
          <w:color w:val="000000" w:themeColor="text1"/>
          <w:lang w:eastAsia="en-GB"/>
        </w:rPr>
        <w:t>institution</w:t>
      </w:r>
      <w:r w:rsidR="0029177F">
        <w:rPr>
          <w:rFonts w:ascii="Arial" w:eastAsia="Times New Roman" w:hAnsi="Arial" w:cs="Arial"/>
          <w:color w:val="000000" w:themeColor="text1"/>
          <w:lang w:eastAsia="en-GB"/>
        </w:rPr>
        <w:t>al</w:t>
      </w:r>
      <w:r w:rsidR="00993C6C" w:rsidRPr="00AA1EB0">
        <w:rPr>
          <w:rFonts w:ascii="Arial" w:eastAsia="Times New Roman" w:hAnsi="Arial" w:cs="Arial"/>
          <w:color w:val="000000" w:themeColor="text1"/>
          <w:lang w:eastAsia="en-GB"/>
        </w:rPr>
        <w:t xml:space="preserve"> </w:t>
      </w:r>
      <w:r w:rsidR="00040915" w:rsidRPr="00AA1EB0">
        <w:rPr>
          <w:rFonts w:ascii="Arial" w:eastAsia="Times New Roman" w:hAnsi="Arial" w:cs="Arial"/>
          <w:color w:val="000000" w:themeColor="text1"/>
          <w:lang w:eastAsia="en-GB"/>
        </w:rPr>
        <w:t>level</w:t>
      </w:r>
      <w:r w:rsidR="009F2DF8" w:rsidRPr="00AA1EB0">
        <w:rPr>
          <w:rFonts w:ascii="Arial" w:eastAsia="Times New Roman" w:hAnsi="Arial" w:cs="Arial"/>
          <w:color w:val="000000" w:themeColor="text1"/>
          <w:lang w:eastAsia="en-GB"/>
        </w:rPr>
        <w:t xml:space="preserve"> that would assess </w:t>
      </w:r>
      <w:r w:rsidR="009E117C" w:rsidRPr="00AA1EB0">
        <w:rPr>
          <w:rFonts w:ascii="Arial" w:eastAsia="Times New Roman" w:hAnsi="Arial" w:cs="Arial"/>
          <w:color w:val="000000" w:themeColor="text1"/>
          <w:lang w:eastAsia="en-GB"/>
        </w:rPr>
        <w:t xml:space="preserve">the </w:t>
      </w:r>
      <w:r w:rsidR="00040915" w:rsidRPr="00AA1EB0">
        <w:rPr>
          <w:rFonts w:ascii="Arial" w:eastAsia="Times New Roman" w:hAnsi="Arial" w:cs="Arial"/>
          <w:color w:val="000000" w:themeColor="text1"/>
          <w:lang w:eastAsia="en-GB"/>
        </w:rPr>
        <w:t xml:space="preserve">strategic approach and activities to support interdisciplinary working through </w:t>
      </w:r>
      <w:r w:rsidR="009F2DF8" w:rsidRPr="00AA1EB0">
        <w:rPr>
          <w:rFonts w:ascii="Arial" w:eastAsia="Times New Roman" w:hAnsi="Arial" w:cs="Arial"/>
          <w:color w:val="000000" w:themeColor="text1"/>
          <w:lang w:eastAsia="en-GB"/>
        </w:rPr>
        <w:t xml:space="preserve">an </w:t>
      </w:r>
      <w:r w:rsidR="00F14709" w:rsidRPr="00AA1EB0">
        <w:rPr>
          <w:rFonts w:ascii="Arial" w:eastAsia="Times New Roman" w:hAnsi="Arial" w:cs="Arial"/>
          <w:color w:val="000000" w:themeColor="text1"/>
          <w:lang w:eastAsia="en-GB"/>
        </w:rPr>
        <w:t>institutional environment submission</w:t>
      </w:r>
      <w:r w:rsidR="009F2DF8" w:rsidRPr="00AA1EB0">
        <w:rPr>
          <w:rFonts w:ascii="Arial" w:eastAsia="Times New Roman" w:hAnsi="Arial" w:cs="Arial"/>
          <w:color w:val="000000" w:themeColor="text1"/>
          <w:lang w:eastAsia="en-GB"/>
        </w:rPr>
        <w:t>,</w:t>
      </w:r>
      <w:r w:rsidR="00F14709" w:rsidRPr="00AA1EB0">
        <w:rPr>
          <w:rFonts w:ascii="Arial" w:eastAsia="Times New Roman" w:hAnsi="Arial" w:cs="Arial"/>
          <w:color w:val="000000" w:themeColor="text1"/>
          <w:lang w:eastAsia="en-GB"/>
        </w:rPr>
        <w:t xml:space="preserve"> and </w:t>
      </w:r>
      <w:r w:rsidR="00AA022E" w:rsidRPr="00AA1EB0">
        <w:rPr>
          <w:rFonts w:ascii="Arial" w:eastAsia="Times New Roman" w:hAnsi="Arial" w:cs="Arial"/>
          <w:color w:val="000000" w:themeColor="text1"/>
          <w:lang w:eastAsia="en-GB"/>
        </w:rPr>
        <w:t xml:space="preserve">highlight the impact of IDR through </w:t>
      </w:r>
      <w:r w:rsidR="00040915" w:rsidRPr="00AA1EB0">
        <w:rPr>
          <w:rFonts w:ascii="Arial" w:eastAsia="Times New Roman" w:hAnsi="Arial" w:cs="Arial"/>
          <w:color w:val="000000" w:themeColor="text1"/>
          <w:lang w:eastAsia="en-GB"/>
        </w:rPr>
        <w:t xml:space="preserve">institution-level </w:t>
      </w:r>
      <w:r w:rsidR="00F14709" w:rsidRPr="00AA1EB0">
        <w:rPr>
          <w:rFonts w:ascii="Arial" w:eastAsia="Times New Roman" w:hAnsi="Arial" w:cs="Arial"/>
          <w:color w:val="000000" w:themeColor="text1"/>
          <w:lang w:eastAsia="en-GB"/>
        </w:rPr>
        <w:t>impact case studies</w:t>
      </w:r>
      <w:r w:rsidR="00040915" w:rsidRPr="00AA1EB0">
        <w:rPr>
          <w:rFonts w:ascii="Arial" w:eastAsia="Times New Roman" w:hAnsi="Arial" w:cs="Arial"/>
          <w:color w:val="000000" w:themeColor="text1"/>
          <w:lang w:eastAsia="en-GB"/>
        </w:rPr>
        <w:t>.</w:t>
      </w:r>
    </w:p>
    <w:p w14:paraId="0F1829E9" w14:textId="77777777" w:rsidR="00040915" w:rsidRPr="00AA1EB0" w:rsidRDefault="00040915" w:rsidP="003A3BEE">
      <w:pPr>
        <w:spacing w:after="0" w:line="300" w:lineRule="atLeast"/>
        <w:contextualSpacing/>
        <w:rPr>
          <w:rFonts w:ascii="Arial" w:eastAsia="Times New Roman" w:hAnsi="Arial" w:cs="Arial"/>
          <w:color w:val="000000" w:themeColor="text1"/>
          <w:lang w:eastAsia="en-GB"/>
        </w:rPr>
      </w:pPr>
    </w:p>
    <w:p w14:paraId="2D0C99D3" w14:textId="2826E0E3" w:rsidR="00F14709" w:rsidRPr="00AA1EB0" w:rsidRDefault="009F2DF8" w:rsidP="003A3BEE">
      <w:pPr>
        <w:numPr>
          <w:ilvl w:val="0"/>
          <w:numId w:val="2"/>
        </w:numPr>
        <w:spacing w:after="0" w:line="300" w:lineRule="atLeast"/>
        <w:ind w:left="0" w:firstLine="0"/>
        <w:contextualSpacing/>
        <w:rPr>
          <w:rFonts w:ascii="Arial" w:eastAsia="Times New Roman" w:hAnsi="Arial" w:cs="Arial"/>
          <w:color w:val="000000" w:themeColor="text1"/>
          <w:lang w:eastAsia="en-GB"/>
        </w:rPr>
      </w:pPr>
      <w:r w:rsidRPr="00AA1EB0">
        <w:rPr>
          <w:rFonts w:ascii="Arial" w:eastAsia="Times New Roman" w:hAnsi="Arial" w:cs="Arial"/>
          <w:color w:val="000000" w:themeColor="text1"/>
          <w:lang w:eastAsia="en-GB"/>
        </w:rPr>
        <w:t>W</w:t>
      </w:r>
      <w:r w:rsidR="009E117C" w:rsidRPr="00AA1EB0">
        <w:rPr>
          <w:rFonts w:ascii="Arial" w:eastAsia="Times New Roman" w:hAnsi="Arial" w:cs="Arial"/>
          <w:color w:val="000000" w:themeColor="text1"/>
          <w:lang w:eastAsia="en-GB"/>
        </w:rPr>
        <w:t>e commenced our work</w:t>
      </w:r>
      <w:r w:rsidRPr="00AA1EB0">
        <w:rPr>
          <w:rFonts w:ascii="Arial" w:eastAsia="Times New Roman" w:hAnsi="Arial" w:cs="Arial"/>
          <w:color w:val="000000" w:themeColor="text1"/>
          <w:lang w:eastAsia="en-GB"/>
        </w:rPr>
        <w:t xml:space="preserve"> following the funding bodies’ consultation. On reflection, we believe that beginning this work earlier would have been of value to the development of the early proposals</w:t>
      </w:r>
      <w:r w:rsidR="005B1488">
        <w:rPr>
          <w:rFonts w:ascii="Arial" w:eastAsia="Times New Roman" w:hAnsi="Arial" w:cs="Arial"/>
          <w:color w:val="000000" w:themeColor="text1"/>
          <w:lang w:eastAsia="en-GB"/>
        </w:rPr>
        <w:t xml:space="preserve"> and their earlier feed in to the work of the main panels</w:t>
      </w:r>
    </w:p>
    <w:p w14:paraId="577606BF" w14:textId="77777777" w:rsidR="00040915" w:rsidRPr="00AA1EB0" w:rsidRDefault="00040915" w:rsidP="007B29A2">
      <w:pPr>
        <w:spacing w:after="0" w:line="300" w:lineRule="atLeast"/>
        <w:ind w:left="360"/>
        <w:contextualSpacing/>
        <w:rPr>
          <w:rFonts w:ascii="Arial" w:hAnsi="Arial" w:cs="Arial"/>
        </w:rPr>
      </w:pPr>
    </w:p>
    <w:p w14:paraId="65EDB815" w14:textId="5A0B16D5" w:rsidR="00626B80" w:rsidRPr="008A4C66" w:rsidRDefault="00626B80" w:rsidP="0034062C">
      <w:pPr>
        <w:pStyle w:val="Heading1"/>
        <w:rPr>
          <w:rFonts w:ascii="Arial" w:hAnsi="Arial" w:cs="Arial"/>
          <w:b/>
          <w:color w:val="auto"/>
          <w:sz w:val="24"/>
          <w:szCs w:val="21"/>
        </w:rPr>
      </w:pPr>
      <w:bookmarkStart w:id="10" w:name="_Toc3200572"/>
      <w:r w:rsidRPr="008A4C66">
        <w:rPr>
          <w:rFonts w:ascii="Arial" w:hAnsi="Arial" w:cs="Arial"/>
          <w:b/>
          <w:color w:val="auto"/>
          <w:sz w:val="24"/>
          <w:szCs w:val="21"/>
        </w:rPr>
        <w:t>P</w:t>
      </w:r>
      <w:r w:rsidR="000A39B5" w:rsidRPr="008A4C66">
        <w:rPr>
          <w:rFonts w:ascii="Arial" w:hAnsi="Arial" w:cs="Arial"/>
          <w:b/>
          <w:color w:val="auto"/>
          <w:sz w:val="24"/>
          <w:szCs w:val="21"/>
        </w:rPr>
        <w:t>art</w:t>
      </w:r>
      <w:r w:rsidRPr="008A4C66">
        <w:rPr>
          <w:rFonts w:ascii="Arial" w:hAnsi="Arial" w:cs="Arial"/>
          <w:b/>
          <w:color w:val="auto"/>
          <w:sz w:val="24"/>
          <w:szCs w:val="21"/>
        </w:rPr>
        <w:t xml:space="preserve"> 2</w:t>
      </w:r>
      <w:r w:rsidR="000A39B5" w:rsidRPr="008A4C66">
        <w:rPr>
          <w:rFonts w:ascii="Arial" w:hAnsi="Arial" w:cs="Arial"/>
          <w:b/>
          <w:color w:val="auto"/>
          <w:sz w:val="24"/>
          <w:szCs w:val="21"/>
        </w:rPr>
        <w:t>:</w:t>
      </w:r>
      <w:r w:rsidRPr="008A4C66">
        <w:rPr>
          <w:rFonts w:ascii="Arial" w:hAnsi="Arial" w:cs="Arial"/>
          <w:b/>
          <w:color w:val="auto"/>
          <w:sz w:val="24"/>
          <w:szCs w:val="21"/>
        </w:rPr>
        <w:t xml:space="preserve"> IDAP</w:t>
      </w:r>
      <w:r w:rsidR="004A3D82" w:rsidRPr="008A4C66">
        <w:rPr>
          <w:rFonts w:ascii="Arial" w:hAnsi="Arial" w:cs="Arial"/>
          <w:b/>
          <w:color w:val="auto"/>
          <w:sz w:val="24"/>
          <w:szCs w:val="21"/>
        </w:rPr>
        <w:t>’</w:t>
      </w:r>
      <w:r w:rsidRPr="008A4C66">
        <w:rPr>
          <w:rFonts w:ascii="Arial" w:hAnsi="Arial" w:cs="Arial"/>
          <w:b/>
          <w:color w:val="auto"/>
          <w:sz w:val="24"/>
          <w:szCs w:val="21"/>
        </w:rPr>
        <w:t>s advice</w:t>
      </w:r>
      <w:bookmarkEnd w:id="10"/>
      <w:r w:rsidR="004A3D82" w:rsidRPr="008A4C66">
        <w:rPr>
          <w:rFonts w:ascii="Arial" w:hAnsi="Arial" w:cs="Arial"/>
          <w:b/>
          <w:color w:val="auto"/>
          <w:sz w:val="24"/>
          <w:szCs w:val="21"/>
        </w:rPr>
        <w:t xml:space="preserve"> </w:t>
      </w:r>
    </w:p>
    <w:p w14:paraId="6BBBF0A4" w14:textId="77777777" w:rsidR="00A1557A" w:rsidRPr="00AA1EB0" w:rsidRDefault="00A1557A" w:rsidP="007B29A2">
      <w:pPr>
        <w:spacing w:after="0" w:line="300" w:lineRule="atLeast"/>
        <w:ind w:left="720"/>
        <w:rPr>
          <w:rFonts w:ascii="Arial" w:hAnsi="Arial" w:cs="Arial"/>
          <w:b/>
        </w:rPr>
      </w:pPr>
    </w:p>
    <w:p w14:paraId="240BBCD0" w14:textId="51077D5D" w:rsidR="00626B80" w:rsidRPr="00AA1EB0" w:rsidRDefault="003F5D10" w:rsidP="003A3BEE">
      <w:pPr>
        <w:pStyle w:val="ListParagraph"/>
        <w:numPr>
          <w:ilvl w:val="0"/>
          <w:numId w:val="2"/>
        </w:numPr>
        <w:spacing w:after="0" w:line="300" w:lineRule="atLeast"/>
        <w:ind w:left="0" w:firstLine="0"/>
        <w:rPr>
          <w:rFonts w:ascii="Arial" w:eastAsia="Times New Roman" w:hAnsi="Arial" w:cs="Arial"/>
          <w:color w:val="000000" w:themeColor="text1"/>
          <w:lang w:eastAsia="en-GB"/>
        </w:rPr>
      </w:pPr>
      <w:r w:rsidRPr="00AA1EB0">
        <w:rPr>
          <w:rFonts w:ascii="Arial" w:eastAsia="Times New Roman" w:hAnsi="Arial" w:cs="Arial"/>
          <w:color w:val="000000" w:themeColor="text1"/>
          <w:lang w:val="en-GB" w:eastAsia="en-GB"/>
        </w:rPr>
        <w:t xml:space="preserve">This section sets </w:t>
      </w:r>
      <w:r w:rsidR="005B1488">
        <w:rPr>
          <w:rFonts w:ascii="Arial" w:eastAsia="Times New Roman" w:hAnsi="Arial" w:cs="Arial"/>
          <w:color w:val="000000" w:themeColor="text1"/>
          <w:lang w:val="en-GB" w:eastAsia="en-GB"/>
        </w:rPr>
        <w:t xml:space="preserve">out </w:t>
      </w:r>
      <w:r w:rsidRPr="00AA1EB0">
        <w:rPr>
          <w:rFonts w:ascii="Arial" w:eastAsia="Times New Roman" w:hAnsi="Arial" w:cs="Arial"/>
          <w:color w:val="000000" w:themeColor="text1"/>
          <w:lang w:val="en-GB" w:eastAsia="en-GB"/>
        </w:rPr>
        <w:t xml:space="preserve">our </w:t>
      </w:r>
      <w:r w:rsidR="009E117C" w:rsidRPr="00AA1EB0">
        <w:rPr>
          <w:rFonts w:ascii="Arial" w:eastAsia="Times New Roman" w:hAnsi="Arial" w:cs="Arial"/>
          <w:color w:val="000000" w:themeColor="text1"/>
          <w:lang w:val="en-GB" w:eastAsia="en-GB"/>
        </w:rPr>
        <w:t xml:space="preserve">approach and </w:t>
      </w:r>
      <w:r w:rsidRPr="00AA1EB0">
        <w:rPr>
          <w:rFonts w:ascii="Arial" w:eastAsia="Times New Roman" w:hAnsi="Arial" w:cs="Arial"/>
          <w:color w:val="000000" w:themeColor="text1"/>
          <w:lang w:val="en-GB" w:eastAsia="en-GB"/>
        </w:rPr>
        <w:t>processes</w:t>
      </w:r>
      <w:r w:rsidR="009E117C" w:rsidRPr="00AA1EB0">
        <w:rPr>
          <w:rFonts w:ascii="Arial" w:eastAsia="Times New Roman" w:hAnsi="Arial" w:cs="Arial"/>
          <w:color w:val="000000" w:themeColor="text1"/>
          <w:lang w:val="en-GB" w:eastAsia="en-GB"/>
        </w:rPr>
        <w:t xml:space="preserve"> in developing</w:t>
      </w:r>
      <w:r w:rsidRPr="00AA1EB0">
        <w:rPr>
          <w:rFonts w:ascii="Arial" w:eastAsia="Times New Roman" w:hAnsi="Arial" w:cs="Arial"/>
          <w:color w:val="000000" w:themeColor="text1"/>
          <w:lang w:val="en-GB" w:eastAsia="en-GB"/>
        </w:rPr>
        <w:t xml:space="preserve"> </w:t>
      </w:r>
      <w:r w:rsidR="009E117C" w:rsidRPr="00AA1EB0">
        <w:rPr>
          <w:rFonts w:ascii="Arial" w:eastAsia="Times New Roman" w:hAnsi="Arial" w:cs="Arial"/>
          <w:color w:val="000000" w:themeColor="text1"/>
          <w:lang w:val="en-GB" w:eastAsia="en-GB"/>
        </w:rPr>
        <w:t>our advice for the fund</w:t>
      </w:r>
      <w:r w:rsidR="000D1AAA" w:rsidRPr="00AA1EB0">
        <w:rPr>
          <w:rFonts w:ascii="Arial" w:eastAsia="Times New Roman" w:hAnsi="Arial" w:cs="Arial"/>
          <w:color w:val="000000" w:themeColor="text1"/>
          <w:lang w:val="en-GB" w:eastAsia="en-GB"/>
        </w:rPr>
        <w:t>i</w:t>
      </w:r>
      <w:r w:rsidR="009E117C" w:rsidRPr="00AA1EB0">
        <w:rPr>
          <w:rFonts w:ascii="Arial" w:eastAsia="Times New Roman" w:hAnsi="Arial" w:cs="Arial"/>
          <w:color w:val="000000" w:themeColor="text1"/>
          <w:lang w:val="en-GB" w:eastAsia="en-GB"/>
        </w:rPr>
        <w:t>ng bodies and the panels</w:t>
      </w:r>
      <w:r w:rsidRPr="00AA1EB0">
        <w:rPr>
          <w:rFonts w:ascii="Arial" w:eastAsia="Times New Roman" w:hAnsi="Arial" w:cs="Arial"/>
          <w:color w:val="000000" w:themeColor="text1"/>
          <w:lang w:val="en-GB" w:eastAsia="en-GB"/>
        </w:rPr>
        <w:t>.</w:t>
      </w:r>
      <w:r w:rsidR="00210206" w:rsidRPr="00AA1EB0">
        <w:rPr>
          <w:rFonts w:ascii="Arial" w:eastAsia="Times New Roman" w:hAnsi="Arial" w:cs="Arial"/>
          <w:color w:val="000000" w:themeColor="text1"/>
          <w:lang w:val="en-GB" w:eastAsia="en-GB"/>
        </w:rPr>
        <w:t xml:space="preserve"> </w:t>
      </w:r>
    </w:p>
    <w:p w14:paraId="3CDF1E81" w14:textId="2D27FC3F" w:rsidR="00993C6C" w:rsidRPr="00AA1EB0" w:rsidRDefault="00993C6C" w:rsidP="003A3BEE">
      <w:pPr>
        <w:pStyle w:val="ListParagraph"/>
        <w:spacing w:after="0" w:line="300" w:lineRule="atLeast"/>
        <w:ind w:left="0"/>
        <w:rPr>
          <w:rFonts w:ascii="Arial" w:eastAsia="Times New Roman" w:hAnsi="Arial" w:cs="Arial"/>
          <w:color w:val="000000" w:themeColor="text1"/>
          <w:lang w:eastAsia="en-GB"/>
        </w:rPr>
      </w:pPr>
    </w:p>
    <w:p w14:paraId="04E4BFD0" w14:textId="61C7F324" w:rsidR="001A6CEB" w:rsidRPr="00AA1EB0" w:rsidRDefault="00DF1E6A" w:rsidP="003A3BEE">
      <w:pPr>
        <w:pStyle w:val="ListParagraph"/>
        <w:numPr>
          <w:ilvl w:val="0"/>
          <w:numId w:val="2"/>
        </w:numPr>
        <w:spacing w:after="0" w:line="300" w:lineRule="atLeast"/>
        <w:ind w:left="0" w:firstLine="0"/>
        <w:rPr>
          <w:rFonts w:ascii="Arial" w:eastAsia="Times New Roman" w:hAnsi="Arial" w:cs="Arial"/>
          <w:color w:val="000000" w:themeColor="text1"/>
          <w:lang w:eastAsia="en-GB"/>
        </w:rPr>
      </w:pPr>
      <w:r w:rsidRPr="00AA1EB0">
        <w:rPr>
          <w:rFonts w:ascii="Arial" w:eastAsia="Times New Roman" w:hAnsi="Arial" w:cs="Arial"/>
          <w:color w:val="000000" w:themeColor="text1"/>
          <w:lang w:val="en-GB" w:eastAsia="en-GB"/>
        </w:rPr>
        <w:t xml:space="preserve">Across our </w:t>
      </w:r>
      <w:r w:rsidR="005E62C3" w:rsidRPr="00AA1EB0">
        <w:rPr>
          <w:rFonts w:ascii="Arial" w:eastAsia="Times New Roman" w:hAnsi="Arial" w:cs="Arial"/>
          <w:color w:val="000000" w:themeColor="text1"/>
          <w:lang w:val="en-GB" w:eastAsia="en-GB"/>
        </w:rPr>
        <w:t xml:space="preserve">first three meetings, we </w:t>
      </w:r>
      <w:r w:rsidRPr="00AA1EB0">
        <w:rPr>
          <w:rFonts w:ascii="Arial" w:eastAsia="Times New Roman" w:hAnsi="Arial" w:cs="Arial"/>
          <w:color w:val="000000" w:themeColor="text1"/>
          <w:lang w:val="en-GB" w:eastAsia="en-GB"/>
        </w:rPr>
        <w:t xml:space="preserve">assessed and considered </w:t>
      </w:r>
      <w:r w:rsidR="0029177F">
        <w:rPr>
          <w:rFonts w:ascii="Arial" w:eastAsia="Times New Roman" w:hAnsi="Arial" w:cs="Arial"/>
          <w:color w:val="000000" w:themeColor="text1"/>
          <w:lang w:val="en-GB" w:eastAsia="en-GB"/>
        </w:rPr>
        <w:t>a wide range of</w:t>
      </w:r>
      <w:r w:rsidR="0029177F" w:rsidRPr="00AA1EB0">
        <w:rPr>
          <w:rFonts w:ascii="Arial" w:eastAsia="Times New Roman" w:hAnsi="Arial" w:cs="Arial"/>
          <w:color w:val="000000" w:themeColor="text1"/>
          <w:lang w:val="en-GB" w:eastAsia="en-GB"/>
        </w:rPr>
        <w:t xml:space="preserve"> </w:t>
      </w:r>
      <w:r w:rsidR="005E62C3" w:rsidRPr="00AA1EB0">
        <w:rPr>
          <w:rFonts w:ascii="Arial" w:eastAsia="Times New Roman" w:hAnsi="Arial" w:cs="Arial"/>
          <w:color w:val="000000" w:themeColor="text1"/>
          <w:lang w:val="en-GB" w:eastAsia="en-GB"/>
        </w:rPr>
        <w:t xml:space="preserve">evidence in order to inform </w:t>
      </w:r>
      <w:r w:rsidRPr="00AA1EB0">
        <w:rPr>
          <w:rFonts w:ascii="Arial" w:eastAsia="Times New Roman" w:hAnsi="Arial" w:cs="Arial"/>
          <w:color w:val="000000" w:themeColor="text1"/>
          <w:lang w:val="en-GB" w:eastAsia="en-GB"/>
        </w:rPr>
        <w:t>our developing guidance and advice</w:t>
      </w:r>
      <w:r w:rsidR="005E62C3" w:rsidRPr="00AA1EB0">
        <w:rPr>
          <w:rFonts w:ascii="Arial" w:eastAsia="Times New Roman" w:hAnsi="Arial" w:cs="Arial"/>
          <w:color w:val="000000" w:themeColor="text1"/>
          <w:lang w:val="en-GB" w:eastAsia="en-GB"/>
        </w:rPr>
        <w:t xml:space="preserve">. Throughout this process we were mindful of consultation feedback and evidence </w:t>
      </w:r>
      <w:r w:rsidR="00993C6C" w:rsidRPr="00AA1EB0">
        <w:rPr>
          <w:rFonts w:ascii="Arial" w:eastAsia="Times New Roman" w:hAnsi="Arial" w:cs="Arial"/>
          <w:color w:val="000000" w:themeColor="text1"/>
          <w:lang w:val="en-GB" w:eastAsia="en-GB"/>
        </w:rPr>
        <w:t xml:space="preserve">emerging </w:t>
      </w:r>
      <w:r w:rsidR="005E62C3" w:rsidRPr="00AA1EB0">
        <w:rPr>
          <w:rFonts w:ascii="Arial" w:eastAsia="Times New Roman" w:hAnsi="Arial" w:cs="Arial"/>
          <w:color w:val="000000" w:themeColor="text1"/>
          <w:lang w:val="en-GB" w:eastAsia="en-GB"/>
        </w:rPr>
        <w:t>through other mechanisms, such as engagement and consultative events undertaken by the REF team</w:t>
      </w:r>
      <w:r w:rsidR="00A55665">
        <w:rPr>
          <w:rFonts w:ascii="Arial" w:eastAsia="Times New Roman" w:hAnsi="Arial" w:cs="Arial"/>
          <w:color w:val="000000" w:themeColor="text1"/>
          <w:lang w:val="en-GB" w:eastAsia="en-GB"/>
        </w:rPr>
        <w:t xml:space="preserve"> and IDAP members</w:t>
      </w:r>
      <w:r w:rsidR="005E62C3" w:rsidRPr="00AA1EB0">
        <w:rPr>
          <w:rFonts w:ascii="Arial" w:eastAsia="Times New Roman" w:hAnsi="Arial" w:cs="Arial"/>
          <w:color w:val="000000" w:themeColor="text1"/>
          <w:lang w:val="en-GB" w:eastAsia="en-GB"/>
        </w:rPr>
        <w:t>, and feedback from advisory panels</w:t>
      </w:r>
      <w:r w:rsidR="0029177F">
        <w:rPr>
          <w:rFonts w:ascii="Arial" w:eastAsia="Times New Roman" w:hAnsi="Arial" w:cs="Arial"/>
          <w:color w:val="000000" w:themeColor="text1"/>
          <w:lang w:val="en-GB" w:eastAsia="en-GB"/>
        </w:rPr>
        <w:t>,</w:t>
      </w:r>
      <w:r w:rsidR="005E62C3" w:rsidRPr="00AA1EB0">
        <w:rPr>
          <w:rFonts w:ascii="Arial" w:eastAsia="Times New Roman" w:hAnsi="Arial" w:cs="Arial"/>
          <w:color w:val="000000" w:themeColor="text1"/>
          <w:lang w:val="en-GB" w:eastAsia="en-GB"/>
        </w:rPr>
        <w:t xml:space="preserve"> such as the Environment working group</w:t>
      </w:r>
      <w:r w:rsidR="00A55665">
        <w:rPr>
          <w:rFonts w:ascii="Arial" w:eastAsia="Times New Roman" w:hAnsi="Arial" w:cs="Arial"/>
          <w:color w:val="000000" w:themeColor="text1"/>
          <w:lang w:val="en-GB" w:eastAsia="en-GB"/>
        </w:rPr>
        <w:t xml:space="preserve"> </w:t>
      </w:r>
      <w:r w:rsidR="0029177F">
        <w:rPr>
          <w:rFonts w:ascii="Arial" w:eastAsia="Times New Roman" w:hAnsi="Arial" w:cs="Arial"/>
          <w:color w:val="000000" w:themeColor="text1"/>
          <w:lang w:val="en-GB" w:eastAsia="en-GB"/>
        </w:rPr>
        <w:t xml:space="preserve">of the Forum for Responsible Research Metrics, </w:t>
      </w:r>
      <w:r w:rsidR="00A55665">
        <w:rPr>
          <w:rFonts w:ascii="Arial" w:eastAsia="Times New Roman" w:hAnsi="Arial" w:cs="Arial"/>
          <w:color w:val="000000" w:themeColor="text1"/>
          <w:lang w:val="en-GB" w:eastAsia="en-GB"/>
        </w:rPr>
        <w:t xml:space="preserve">and professional </w:t>
      </w:r>
      <w:r w:rsidR="009916A5">
        <w:rPr>
          <w:rFonts w:ascii="Arial" w:eastAsia="Times New Roman" w:hAnsi="Arial" w:cs="Arial"/>
          <w:color w:val="000000" w:themeColor="text1"/>
          <w:lang w:val="en-GB" w:eastAsia="en-GB"/>
        </w:rPr>
        <w:t>organisations.</w:t>
      </w:r>
    </w:p>
    <w:p w14:paraId="5D052DB9" w14:textId="77777777" w:rsidR="005E62C3" w:rsidRPr="00AA1EB0" w:rsidRDefault="005E62C3" w:rsidP="003A3BEE">
      <w:pPr>
        <w:pStyle w:val="ListParagraph"/>
        <w:spacing w:after="0" w:line="300" w:lineRule="atLeast"/>
        <w:ind w:left="0"/>
        <w:rPr>
          <w:rFonts w:ascii="Arial" w:eastAsia="Times New Roman" w:hAnsi="Arial" w:cs="Arial"/>
          <w:color w:val="000000" w:themeColor="text1"/>
          <w:lang w:eastAsia="en-GB"/>
        </w:rPr>
      </w:pPr>
    </w:p>
    <w:p w14:paraId="569F4961" w14:textId="071EC99D" w:rsidR="00A10225" w:rsidRPr="00AA1EB0" w:rsidRDefault="001A6CEB" w:rsidP="003A3BEE">
      <w:pPr>
        <w:pStyle w:val="ListParagraph"/>
        <w:numPr>
          <w:ilvl w:val="0"/>
          <w:numId w:val="2"/>
        </w:numPr>
        <w:spacing w:after="0" w:line="300" w:lineRule="atLeast"/>
        <w:ind w:left="0" w:firstLine="0"/>
        <w:rPr>
          <w:rFonts w:ascii="Arial" w:eastAsia="Times New Roman" w:hAnsi="Arial" w:cs="Arial"/>
          <w:color w:val="000000" w:themeColor="text1"/>
          <w:lang w:eastAsia="en-GB"/>
        </w:rPr>
      </w:pPr>
      <w:r w:rsidRPr="00AA1EB0">
        <w:rPr>
          <w:rFonts w:ascii="Arial" w:eastAsia="Times New Roman" w:hAnsi="Arial" w:cs="Arial"/>
          <w:color w:val="000000" w:themeColor="text1"/>
          <w:lang w:val="en-GB" w:eastAsia="en-GB"/>
        </w:rPr>
        <w:t xml:space="preserve">Following our </w:t>
      </w:r>
      <w:r w:rsidR="004F1D1C" w:rsidRPr="00AA1EB0">
        <w:rPr>
          <w:rFonts w:ascii="Arial" w:eastAsia="Times New Roman" w:hAnsi="Arial" w:cs="Arial"/>
          <w:color w:val="000000" w:themeColor="text1"/>
          <w:lang w:val="en-GB" w:eastAsia="en-GB"/>
        </w:rPr>
        <w:t xml:space="preserve">February </w:t>
      </w:r>
      <w:r w:rsidRPr="00AA1EB0">
        <w:rPr>
          <w:rFonts w:ascii="Arial" w:eastAsia="Times New Roman" w:hAnsi="Arial" w:cs="Arial"/>
          <w:color w:val="000000" w:themeColor="text1"/>
          <w:lang w:val="en-GB" w:eastAsia="en-GB"/>
        </w:rPr>
        <w:t xml:space="preserve">2018 </w:t>
      </w:r>
      <w:r w:rsidR="004F1D1C" w:rsidRPr="00AA1EB0">
        <w:rPr>
          <w:rFonts w:ascii="Arial" w:eastAsia="Times New Roman" w:hAnsi="Arial" w:cs="Arial"/>
          <w:color w:val="000000" w:themeColor="text1"/>
          <w:lang w:val="en-GB" w:eastAsia="en-GB"/>
        </w:rPr>
        <w:t xml:space="preserve">meeting, </w:t>
      </w:r>
      <w:r w:rsidRPr="00AA1EB0">
        <w:rPr>
          <w:rFonts w:ascii="Arial" w:eastAsia="Times New Roman" w:hAnsi="Arial" w:cs="Arial"/>
          <w:color w:val="000000" w:themeColor="text1"/>
          <w:lang w:val="en-GB" w:eastAsia="en-GB"/>
        </w:rPr>
        <w:t>our initial advice was provided to the main and sub-panels</w:t>
      </w:r>
      <w:r w:rsidR="004F1D1C" w:rsidRPr="00AA1EB0">
        <w:rPr>
          <w:rFonts w:ascii="Arial" w:eastAsia="Times New Roman" w:hAnsi="Arial" w:cs="Arial"/>
          <w:color w:val="000000" w:themeColor="text1"/>
          <w:lang w:val="en-GB" w:eastAsia="en-GB"/>
        </w:rPr>
        <w:t xml:space="preserve">, for comment, </w:t>
      </w:r>
      <w:r w:rsidRPr="00AA1EB0">
        <w:rPr>
          <w:rFonts w:ascii="Arial" w:eastAsia="Times New Roman" w:hAnsi="Arial" w:cs="Arial"/>
          <w:color w:val="000000" w:themeColor="text1"/>
          <w:lang w:val="en-GB" w:eastAsia="en-GB"/>
        </w:rPr>
        <w:t xml:space="preserve">as part of the development of the panel criteria. </w:t>
      </w:r>
      <w:r w:rsidR="00993C6C" w:rsidRPr="00AA1EB0">
        <w:rPr>
          <w:rFonts w:ascii="Arial" w:eastAsia="Times New Roman" w:hAnsi="Arial" w:cs="Arial"/>
          <w:color w:val="000000" w:themeColor="text1"/>
          <w:lang w:val="en-GB" w:eastAsia="en-GB"/>
        </w:rPr>
        <w:t>T</w:t>
      </w:r>
      <w:r w:rsidR="00FA1873" w:rsidRPr="00AA1EB0">
        <w:rPr>
          <w:rFonts w:ascii="Arial" w:eastAsia="Times New Roman" w:hAnsi="Arial" w:cs="Arial"/>
          <w:color w:val="000000" w:themeColor="text1"/>
          <w:lang w:val="en-GB" w:eastAsia="en-GB"/>
        </w:rPr>
        <w:t xml:space="preserve">he </w:t>
      </w:r>
      <w:r w:rsidRPr="00AA1EB0">
        <w:rPr>
          <w:rFonts w:ascii="Arial" w:eastAsia="Times New Roman" w:hAnsi="Arial" w:cs="Arial"/>
          <w:color w:val="000000" w:themeColor="text1"/>
          <w:lang w:val="en-GB" w:eastAsia="en-GB"/>
        </w:rPr>
        <w:t>IDR advisers</w:t>
      </w:r>
      <w:r w:rsidR="00FA1873" w:rsidRPr="00AA1EB0">
        <w:rPr>
          <w:rFonts w:ascii="Arial" w:eastAsia="Times New Roman" w:hAnsi="Arial" w:cs="Arial"/>
          <w:color w:val="000000" w:themeColor="text1"/>
          <w:lang w:val="en-GB" w:eastAsia="en-GB"/>
        </w:rPr>
        <w:t xml:space="preserve"> within each main panel </w:t>
      </w:r>
      <w:r w:rsidR="00993C6C" w:rsidRPr="00AA1EB0">
        <w:rPr>
          <w:rFonts w:ascii="Arial" w:eastAsia="Times New Roman" w:hAnsi="Arial" w:cs="Arial"/>
          <w:color w:val="000000" w:themeColor="text1"/>
          <w:lang w:val="en-GB" w:eastAsia="en-GB"/>
        </w:rPr>
        <w:t>also met for the first time during this period</w:t>
      </w:r>
      <w:r w:rsidR="00FA1873" w:rsidRPr="00AA1EB0">
        <w:rPr>
          <w:rFonts w:ascii="Arial" w:eastAsia="Times New Roman" w:hAnsi="Arial" w:cs="Arial"/>
          <w:color w:val="000000" w:themeColor="text1"/>
          <w:lang w:val="en-GB" w:eastAsia="en-GB"/>
        </w:rPr>
        <w:t xml:space="preserve"> </w:t>
      </w:r>
      <w:r w:rsidRPr="00AA1EB0">
        <w:rPr>
          <w:rFonts w:ascii="Arial" w:eastAsia="Times New Roman" w:hAnsi="Arial" w:cs="Arial"/>
          <w:color w:val="000000" w:themeColor="text1"/>
          <w:lang w:val="en-GB" w:eastAsia="en-GB"/>
        </w:rPr>
        <w:t xml:space="preserve">to consider and feedback on the arrangements for </w:t>
      </w:r>
      <w:r w:rsidR="00665D91" w:rsidRPr="00AA1EB0">
        <w:rPr>
          <w:rFonts w:ascii="Arial" w:eastAsia="Times New Roman" w:hAnsi="Arial" w:cs="Arial"/>
          <w:color w:val="000000" w:themeColor="text1"/>
          <w:lang w:val="en-GB" w:eastAsia="en-GB"/>
        </w:rPr>
        <w:t xml:space="preserve">the </w:t>
      </w:r>
      <w:r w:rsidRPr="00AA1EB0">
        <w:rPr>
          <w:rFonts w:ascii="Arial" w:eastAsia="Times New Roman" w:hAnsi="Arial" w:cs="Arial"/>
          <w:color w:val="000000" w:themeColor="text1"/>
          <w:lang w:val="en-GB" w:eastAsia="en-GB"/>
        </w:rPr>
        <w:t xml:space="preserve">IDR network, </w:t>
      </w:r>
      <w:r w:rsidR="00993C6C" w:rsidRPr="00AA1EB0">
        <w:rPr>
          <w:rFonts w:ascii="Arial" w:eastAsia="Times New Roman" w:hAnsi="Arial" w:cs="Arial"/>
          <w:color w:val="000000" w:themeColor="text1"/>
          <w:lang w:val="en-GB" w:eastAsia="en-GB"/>
        </w:rPr>
        <w:t xml:space="preserve">its </w:t>
      </w:r>
      <w:r w:rsidRPr="00AA1EB0">
        <w:rPr>
          <w:rFonts w:ascii="Arial" w:eastAsia="Times New Roman" w:hAnsi="Arial" w:cs="Arial"/>
          <w:color w:val="000000" w:themeColor="text1"/>
          <w:lang w:val="en-GB" w:eastAsia="en-GB"/>
        </w:rPr>
        <w:t xml:space="preserve">working </w:t>
      </w:r>
      <w:r w:rsidR="00993C6C" w:rsidRPr="00AA1EB0">
        <w:rPr>
          <w:rFonts w:ascii="Arial" w:eastAsia="Times New Roman" w:hAnsi="Arial" w:cs="Arial"/>
          <w:color w:val="000000" w:themeColor="text1"/>
          <w:lang w:val="en-GB" w:eastAsia="en-GB"/>
        </w:rPr>
        <w:t xml:space="preserve">methods </w:t>
      </w:r>
      <w:r w:rsidRPr="00AA1EB0">
        <w:rPr>
          <w:rFonts w:ascii="Arial" w:eastAsia="Times New Roman" w:hAnsi="Arial" w:cs="Arial"/>
          <w:color w:val="000000" w:themeColor="text1"/>
          <w:lang w:val="en-GB" w:eastAsia="en-GB"/>
        </w:rPr>
        <w:t>and supporting structures.</w:t>
      </w:r>
    </w:p>
    <w:p w14:paraId="1BD13215" w14:textId="77777777" w:rsidR="007D66D8" w:rsidRDefault="007D66D8" w:rsidP="007B29A2">
      <w:pPr>
        <w:spacing w:after="0" w:line="300" w:lineRule="atLeast"/>
        <w:rPr>
          <w:rFonts w:ascii="Arial" w:hAnsi="Arial" w:cs="Arial"/>
          <w:b/>
        </w:rPr>
      </w:pPr>
    </w:p>
    <w:p w14:paraId="2868A21F" w14:textId="382C11B8" w:rsidR="00920A0B" w:rsidRPr="008A4C66" w:rsidRDefault="00DF1E6A" w:rsidP="0034062C">
      <w:pPr>
        <w:pStyle w:val="Heading2"/>
        <w:rPr>
          <w:rFonts w:ascii="Arial" w:eastAsia="Times New Roman" w:hAnsi="Arial" w:cs="Arial"/>
          <w:b/>
          <w:color w:val="000000" w:themeColor="text1"/>
          <w:sz w:val="21"/>
          <w:szCs w:val="21"/>
          <w:lang w:eastAsia="en-GB"/>
        </w:rPr>
      </w:pPr>
      <w:bookmarkStart w:id="11" w:name="_Toc3200573"/>
      <w:r w:rsidRPr="008A4C66">
        <w:rPr>
          <w:rFonts w:ascii="Arial" w:eastAsia="Times New Roman" w:hAnsi="Arial" w:cs="Arial"/>
          <w:b/>
          <w:color w:val="000000" w:themeColor="text1"/>
          <w:sz w:val="21"/>
          <w:szCs w:val="21"/>
          <w:lang w:eastAsia="en-GB"/>
        </w:rPr>
        <w:t>Initial decisions</w:t>
      </w:r>
      <w:bookmarkEnd w:id="11"/>
      <w:r w:rsidRPr="008A4C66">
        <w:rPr>
          <w:rFonts w:ascii="Arial" w:eastAsia="Times New Roman" w:hAnsi="Arial" w:cs="Arial"/>
          <w:b/>
          <w:color w:val="000000" w:themeColor="text1"/>
          <w:sz w:val="21"/>
          <w:szCs w:val="21"/>
          <w:lang w:eastAsia="en-GB"/>
        </w:rPr>
        <w:t xml:space="preserve"> </w:t>
      </w:r>
    </w:p>
    <w:p w14:paraId="2BBDB106" w14:textId="29B1E3FD" w:rsidR="00050AEA" w:rsidRPr="00AA1EB0" w:rsidRDefault="00B247E3" w:rsidP="003A3BEE">
      <w:pPr>
        <w:pStyle w:val="ListParagraph"/>
        <w:numPr>
          <w:ilvl w:val="0"/>
          <w:numId w:val="2"/>
        </w:numPr>
        <w:spacing w:after="0" w:line="300" w:lineRule="atLeast"/>
        <w:ind w:left="0" w:firstLine="0"/>
        <w:rPr>
          <w:rFonts w:ascii="Arial" w:eastAsia="Times New Roman" w:hAnsi="Arial" w:cs="Arial"/>
          <w:color w:val="000000"/>
          <w:lang w:eastAsia="en-GB"/>
        </w:rPr>
      </w:pPr>
      <w:r w:rsidRPr="00AA1EB0">
        <w:rPr>
          <w:rFonts w:ascii="Arial" w:eastAsia="Times New Roman" w:hAnsi="Arial" w:cs="Arial"/>
          <w:color w:val="000000" w:themeColor="text1"/>
          <w:lang w:val="en-GB" w:eastAsia="en-GB"/>
        </w:rPr>
        <w:t xml:space="preserve">At our first meeting in May 2017 we were asked to review feedback from the REF consultation around IDR, in order to provide advice on the funding bodies’ initial decisions on the exercise. </w:t>
      </w:r>
      <w:r w:rsidR="0029177F">
        <w:rPr>
          <w:rFonts w:ascii="Arial" w:eastAsia="Times New Roman" w:hAnsi="Arial" w:cs="Arial"/>
          <w:color w:val="000000" w:themeColor="text1"/>
          <w:lang w:val="en-GB" w:eastAsia="en-GB"/>
        </w:rPr>
        <w:t xml:space="preserve">As noted above, </w:t>
      </w:r>
      <w:r w:rsidR="008E565D">
        <w:rPr>
          <w:rFonts w:ascii="Arial" w:eastAsia="Times New Roman" w:hAnsi="Arial" w:cs="Arial"/>
          <w:color w:val="000000" w:themeColor="text1"/>
          <w:lang w:val="en-GB" w:eastAsia="en-GB"/>
        </w:rPr>
        <w:t>we believe it would have been beneficial to the process had we met earlier and been able to input into the proposals</w:t>
      </w:r>
      <w:r w:rsidR="00BA3225">
        <w:rPr>
          <w:rFonts w:ascii="Arial" w:eastAsia="Times New Roman" w:hAnsi="Arial" w:cs="Arial"/>
          <w:color w:val="000000" w:themeColor="text1"/>
          <w:lang w:val="en-GB" w:eastAsia="en-GB"/>
        </w:rPr>
        <w:t xml:space="preserve"> and questions</w:t>
      </w:r>
      <w:r w:rsidR="008E565D">
        <w:rPr>
          <w:rFonts w:ascii="Arial" w:eastAsia="Times New Roman" w:hAnsi="Arial" w:cs="Arial"/>
          <w:color w:val="000000" w:themeColor="text1"/>
          <w:lang w:val="en-GB" w:eastAsia="en-GB"/>
        </w:rPr>
        <w:t xml:space="preserve"> put forward for consultation. </w:t>
      </w:r>
      <w:r w:rsidRPr="00AA1EB0">
        <w:rPr>
          <w:rFonts w:ascii="Arial" w:eastAsia="Times New Roman" w:hAnsi="Arial" w:cs="Arial"/>
          <w:color w:val="000000" w:themeColor="text1"/>
          <w:lang w:val="en-GB" w:eastAsia="en-GB"/>
        </w:rPr>
        <w:t>Responses showed general support for the majority of the IDR measures proposed</w:t>
      </w:r>
      <w:r w:rsidRPr="00AA1EB0">
        <w:rPr>
          <w:rFonts w:ascii="Arial" w:eastAsia="Times New Roman" w:hAnsi="Arial" w:cs="Arial"/>
          <w:color w:val="000000" w:themeColor="text1"/>
          <w:vertAlign w:val="superscript"/>
          <w:lang w:val="en-GB" w:eastAsia="en-GB"/>
        </w:rPr>
        <w:footnoteReference w:id="9"/>
      </w:r>
      <w:r w:rsidRPr="00AA1EB0">
        <w:rPr>
          <w:rFonts w:ascii="Arial" w:eastAsia="Times New Roman" w:hAnsi="Arial" w:cs="Arial"/>
          <w:color w:val="000000" w:themeColor="text1"/>
          <w:lang w:val="en-GB" w:eastAsia="en-GB"/>
        </w:rPr>
        <w:t xml:space="preserve">. There was, however, a call for </w:t>
      </w:r>
      <w:r w:rsidR="00BA3225">
        <w:rPr>
          <w:rFonts w:ascii="Arial" w:eastAsia="Times New Roman" w:hAnsi="Arial" w:cs="Arial"/>
          <w:color w:val="000000" w:themeColor="text1"/>
          <w:lang w:val="en-GB" w:eastAsia="en-GB"/>
        </w:rPr>
        <w:t xml:space="preserve">a </w:t>
      </w:r>
      <w:r w:rsidRPr="00AA1EB0">
        <w:rPr>
          <w:rFonts w:ascii="Arial" w:eastAsia="Times New Roman" w:hAnsi="Arial" w:cs="Arial"/>
          <w:color w:val="000000" w:themeColor="text1"/>
          <w:lang w:val="en-GB" w:eastAsia="en-GB"/>
        </w:rPr>
        <w:t xml:space="preserve">clear definition of IDR to inform the use of the IDR identifier and for clarity on the role of the IDR advisers. Consequently, we </w:t>
      </w:r>
      <w:r w:rsidR="00050AEA" w:rsidRPr="00AA1EB0">
        <w:rPr>
          <w:rFonts w:ascii="Arial" w:eastAsia="Times New Roman" w:hAnsi="Arial" w:cs="Arial"/>
          <w:color w:val="000000" w:themeColor="text1"/>
          <w:lang w:eastAsia="en-GB"/>
        </w:rPr>
        <w:t xml:space="preserve">were invited to </w:t>
      </w:r>
      <w:r w:rsidR="00920A0B" w:rsidRPr="00AA1EB0">
        <w:rPr>
          <w:rFonts w:ascii="Arial" w:eastAsia="Times New Roman" w:hAnsi="Arial" w:cs="Arial"/>
          <w:color w:val="000000" w:themeColor="text1"/>
          <w:lang w:eastAsia="en-GB"/>
        </w:rPr>
        <w:t xml:space="preserve">provide </w:t>
      </w:r>
      <w:r w:rsidR="003A68FE" w:rsidRPr="00AA1EB0">
        <w:rPr>
          <w:rFonts w:ascii="Arial" w:eastAsia="Times New Roman" w:hAnsi="Arial" w:cs="Arial"/>
          <w:color w:val="000000" w:themeColor="text1"/>
          <w:lang w:eastAsia="en-GB"/>
        </w:rPr>
        <w:t>advic</w:t>
      </w:r>
      <w:r w:rsidR="00050AEA" w:rsidRPr="00AA1EB0">
        <w:rPr>
          <w:rFonts w:ascii="Arial" w:eastAsia="Times New Roman" w:hAnsi="Arial" w:cs="Arial"/>
          <w:color w:val="000000" w:themeColor="text1"/>
          <w:lang w:eastAsia="en-GB"/>
        </w:rPr>
        <w:t xml:space="preserve">e </w:t>
      </w:r>
      <w:r w:rsidR="00920A0B" w:rsidRPr="00AA1EB0">
        <w:rPr>
          <w:rFonts w:ascii="Arial" w:eastAsia="Times New Roman" w:hAnsi="Arial" w:cs="Arial"/>
          <w:color w:val="000000" w:themeColor="text1"/>
          <w:lang w:eastAsia="en-GB"/>
        </w:rPr>
        <w:t xml:space="preserve">to </w:t>
      </w:r>
      <w:r w:rsidR="00920A0B" w:rsidRPr="00AA1EB0">
        <w:rPr>
          <w:rFonts w:ascii="Arial" w:eastAsia="Times New Roman" w:hAnsi="Arial" w:cs="Arial"/>
          <w:lang w:val="en-GB" w:eastAsia="en-GB"/>
        </w:rPr>
        <w:t>the REF Steering Group</w:t>
      </w:r>
      <w:r w:rsidR="0029177F">
        <w:rPr>
          <w:rFonts w:ascii="Arial" w:eastAsia="Times New Roman" w:hAnsi="Arial" w:cs="Arial"/>
          <w:lang w:val="en-GB" w:eastAsia="en-GB"/>
        </w:rPr>
        <w:t>, made up of representatives from the four UK higher education funding bodies,</w:t>
      </w:r>
      <w:r w:rsidR="00920A0B" w:rsidRPr="00AA1EB0">
        <w:rPr>
          <w:rFonts w:ascii="Arial" w:eastAsia="Times New Roman" w:hAnsi="Arial" w:cs="Arial"/>
          <w:lang w:val="en-GB" w:eastAsia="en-GB"/>
        </w:rPr>
        <w:t xml:space="preserve"> to inform the development of the ‘Initial decisions on the REF 2021’ (REF 2017/01)</w:t>
      </w:r>
      <w:r w:rsidR="00920A0B" w:rsidRPr="00AA1EB0">
        <w:rPr>
          <w:rFonts w:ascii="Arial" w:hAnsi="Arial" w:cs="Arial"/>
          <w:vertAlign w:val="superscript"/>
          <w:lang w:val="en-GB"/>
        </w:rPr>
        <w:footnoteReference w:id="10"/>
      </w:r>
      <w:r w:rsidR="00920A0B" w:rsidRPr="00AA1EB0">
        <w:rPr>
          <w:rFonts w:ascii="Arial" w:eastAsia="Times New Roman" w:hAnsi="Arial" w:cs="Arial"/>
          <w:lang w:val="en-GB" w:eastAsia="en-GB"/>
        </w:rPr>
        <w:t xml:space="preserve"> </w:t>
      </w:r>
      <w:r w:rsidR="0029177F">
        <w:rPr>
          <w:rFonts w:ascii="Arial" w:eastAsia="Times New Roman" w:hAnsi="Arial" w:cs="Arial"/>
          <w:lang w:val="en-GB" w:eastAsia="en-GB"/>
        </w:rPr>
        <w:t>with</w:t>
      </w:r>
      <w:r w:rsidR="0029177F" w:rsidRPr="00AA1EB0">
        <w:rPr>
          <w:rFonts w:ascii="Arial" w:eastAsia="Times New Roman" w:hAnsi="Arial" w:cs="Arial"/>
          <w:lang w:val="en-GB" w:eastAsia="en-GB"/>
        </w:rPr>
        <w:t xml:space="preserve"> </w:t>
      </w:r>
      <w:r w:rsidR="003A68FE" w:rsidRPr="00AA1EB0">
        <w:rPr>
          <w:rFonts w:ascii="Arial" w:eastAsia="Times New Roman" w:hAnsi="Arial" w:cs="Arial"/>
          <w:lang w:val="en-GB" w:eastAsia="en-GB"/>
        </w:rPr>
        <w:t>regard to the IDR identifier and definition and appointment of IDR focussed panel members</w:t>
      </w:r>
      <w:r w:rsidR="00920A0B" w:rsidRPr="00AA1EB0">
        <w:rPr>
          <w:rFonts w:ascii="Arial" w:eastAsia="Times New Roman" w:hAnsi="Arial" w:cs="Arial"/>
          <w:color w:val="000000" w:themeColor="text1"/>
          <w:lang w:eastAsia="en-GB"/>
        </w:rPr>
        <w:t xml:space="preserve">.  </w:t>
      </w:r>
    </w:p>
    <w:p w14:paraId="23353335" w14:textId="77777777" w:rsidR="00920A0B" w:rsidRPr="00AA1EB0" w:rsidRDefault="00920A0B" w:rsidP="007B29A2">
      <w:pPr>
        <w:pStyle w:val="ListParagraph"/>
        <w:spacing w:after="0" w:line="300" w:lineRule="atLeast"/>
        <w:ind w:left="360"/>
        <w:rPr>
          <w:rFonts w:ascii="Arial" w:eastAsia="Times New Roman" w:hAnsi="Arial" w:cs="Arial"/>
          <w:color w:val="000000"/>
          <w:lang w:eastAsia="en-GB"/>
        </w:rPr>
      </w:pPr>
    </w:p>
    <w:p w14:paraId="0653AD70" w14:textId="11B9E594" w:rsidR="003A68FE" w:rsidRDefault="003A68FE" w:rsidP="0034062C">
      <w:pPr>
        <w:pStyle w:val="Heading2"/>
        <w:rPr>
          <w:rFonts w:ascii="Arial" w:eastAsia="Times New Roman" w:hAnsi="Arial" w:cs="Arial"/>
          <w:b/>
          <w:color w:val="000000" w:themeColor="text1"/>
          <w:sz w:val="21"/>
          <w:szCs w:val="21"/>
          <w:lang w:eastAsia="en-GB"/>
        </w:rPr>
      </w:pPr>
      <w:bookmarkStart w:id="12" w:name="_Toc3200574"/>
      <w:r w:rsidRPr="00AA1EB0">
        <w:rPr>
          <w:rFonts w:ascii="Arial" w:eastAsia="Times New Roman" w:hAnsi="Arial" w:cs="Arial"/>
          <w:b/>
          <w:color w:val="000000" w:themeColor="text1"/>
          <w:sz w:val="21"/>
          <w:szCs w:val="21"/>
          <w:lang w:eastAsia="en-GB"/>
        </w:rPr>
        <w:t>IDR identifier and definition:</w:t>
      </w:r>
      <w:bookmarkEnd w:id="12"/>
    </w:p>
    <w:p w14:paraId="5F73204A" w14:textId="77777777" w:rsidR="0055615F" w:rsidRPr="00AA1EB0" w:rsidRDefault="0055615F" w:rsidP="007B29A2">
      <w:pPr>
        <w:spacing w:after="0" w:line="300" w:lineRule="atLeast"/>
        <w:rPr>
          <w:rFonts w:ascii="Arial" w:eastAsia="Times New Roman" w:hAnsi="Arial" w:cs="Arial"/>
          <w:b/>
          <w:color w:val="000000" w:themeColor="text1"/>
          <w:lang w:eastAsia="en-GB"/>
        </w:rPr>
      </w:pPr>
    </w:p>
    <w:p w14:paraId="5331450E" w14:textId="337D1220" w:rsidR="003A68FE" w:rsidRPr="003A3BEE" w:rsidRDefault="003A68FE" w:rsidP="003A3BEE">
      <w:pPr>
        <w:spacing w:after="0" w:line="300" w:lineRule="atLeast"/>
        <w:outlineLvl w:val="2"/>
        <w:rPr>
          <w:rFonts w:ascii="Arial" w:hAnsi="Arial" w:cs="Arial"/>
          <w:u w:val="single"/>
        </w:rPr>
      </w:pPr>
      <w:bookmarkStart w:id="13" w:name="_Toc3200575"/>
      <w:r w:rsidRPr="003A3BEE">
        <w:rPr>
          <w:rFonts w:ascii="Arial" w:hAnsi="Arial" w:cs="Arial"/>
          <w:b/>
          <w:u w:val="single"/>
        </w:rPr>
        <w:t>IDR identifier:</w:t>
      </w:r>
      <w:bookmarkEnd w:id="13"/>
    </w:p>
    <w:p w14:paraId="2433053C" w14:textId="596EC2C3" w:rsidR="003A68FE" w:rsidRPr="00AA1EB0" w:rsidRDefault="003A68FE"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 xml:space="preserve">The panel was </w:t>
      </w:r>
      <w:r w:rsidR="00B247E3" w:rsidRPr="00AA1EB0">
        <w:rPr>
          <w:rFonts w:ascii="Arial" w:hAnsi="Arial" w:cs="Arial"/>
        </w:rPr>
        <w:t xml:space="preserve">asked </w:t>
      </w:r>
      <w:r w:rsidRPr="00AA1EB0">
        <w:rPr>
          <w:rFonts w:ascii="Arial" w:hAnsi="Arial" w:cs="Arial"/>
        </w:rPr>
        <w:t xml:space="preserve">to advise on the proposal </w:t>
      </w:r>
      <w:r w:rsidR="00B247E3" w:rsidRPr="00AA1EB0">
        <w:rPr>
          <w:rFonts w:ascii="Arial" w:hAnsi="Arial" w:cs="Arial"/>
        </w:rPr>
        <w:t xml:space="preserve">to make mandatory </w:t>
      </w:r>
      <w:r w:rsidRPr="00AA1EB0">
        <w:rPr>
          <w:rFonts w:ascii="Arial" w:hAnsi="Arial" w:cs="Arial"/>
        </w:rPr>
        <w:t>the identifier for submission of IDR outputs, initially used in REF 2014. Whil</w:t>
      </w:r>
      <w:r w:rsidR="008E565D">
        <w:rPr>
          <w:rFonts w:ascii="Arial" w:hAnsi="Arial" w:cs="Arial"/>
        </w:rPr>
        <w:t>e</w:t>
      </w:r>
      <w:r w:rsidRPr="00AA1EB0">
        <w:rPr>
          <w:rFonts w:ascii="Arial" w:hAnsi="Arial" w:cs="Arial"/>
        </w:rPr>
        <w:t xml:space="preserve"> this had received support in the consultation, we were concerned that making the flag mandatory could increase burden for institutions, which would be disproportionate to the intended benefits. </w:t>
      </w:r>
    </w:p>
    <w:p w14:paraId="545C8C89" w14:textId="77777777" w:rsidR="003A68FE" w:rsidRPr="00AA1EB0" w:rsidRDefault="003A68FE" w:rsidP="003A3BEE">
      <w:pPr>
        <w:pStyle w:val="ListParagraph"/>
        <w:spacing w:after="0" w:line="300" w:lineRule="atLeast"/>
        <w:ind w:left="0"/>
        <w:rPr>
          <w:rFonts w:ascii="Arial" w:hAnsi="Arial" w:cs="Arial"/>
        </w:rPr>
      </w:pPr>
    </w:p>
    <w:p w14:paraId="17B43BC9" w14:textId="386083BA" w:rsidR="00306E38" w:rsidRDefault="003A68FE"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 xml:space="preserve">On this basis we advised continuing the use of an optional IDR flag. However, in order to support the use of the flag, </w:t>
      </w:r>
      <w:r w:rsidR="00306E38">
        <w:rPr>
          <w:rFonts w:ascii="Arial" w:hAnsi="Arial" w:cs="Arial"/>
        </w:rPr>
        <w:t xml:space="preserve">we consider that </w:t>
      </w:r>
      <w:r w:rsidRPr="00AA1EB0">
        <w:rPr>
          <w:rFonts w:ascii="Arial" w:hAnsi="Arial" w:cs="Arial"/>
        </w:rPr>
        <w:t xml:space="preserve">further guidance should be provided on its use. We felt it would be very important for there to be a clearly understood distinction between use of the IDR flag and the use of the flag requesting cross-referral. </w:t>
      </w:r>
    </w:p>
    <w:p w14:paraId="075B6642" w14:textId="77777777" w:rsidR="00306E38" w:rsidRPr="00306E38" w:rsidRDefault="00306E38" w:rsidP="003A3BEE">
      <w:pPr>
        <w:pStyle w:val="ListParagraph"/>
        <w:spacing w:after="0" w:line="300" w:lineRule="atLeast"/>
        <w:ind w:left="0"/>
        <w:rPr>
          <w:rFonts w:ascii="Arial" w:hAnsi="Arial" w:cs="Arial"/>
        </w:rPr>
      </w:pPr>
    </w:p>
    <w:p w14:paraId="7D885761" w14:textId="768E20A1" w:rsidR="003A68FE" w:rsidRPr="00AA1EB0" w:rsidRDefault="003A68FE"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 xml:space="preserve">Use of the IDR flag is intended to bring </w:t>
      </w:r>
      <w:r w:rsidR="00BA3225">
        <w:rPr>
          <w:rFonts w:ascii="Arial" w:hAnsi="Arial" w:cs="Arial"/>
        </w:rPr>
        <w:t>an</w:t>
      </w:r>
      <w:r w:rsidR="00BA3225" w:rsidRPr="00AA1EB0">
        <w:rPr>
          <w:rFonts w:ascii="Arial" w:hAnsi="Arial" w:cs="Arial"/>
        </w:rPr>
        <w:t xml:space="preserve"> </w:t>
      </w:r>
      <w:r w:rsidRPr="00AA1EB0">
        <w:rPr>
          <w:rFonts w:ascii="Arial" w:hAnsi="Arial" w:cs="Arial"/>
        </w:rPr>
        <w:t xml:space="preserve">output within the purview of a sub-panel’s IDR adviser who will advise the chair on assessment and ensure that relevant expertise is </w:t>
      </w:r>
      <w:r w:rsidR="00C45D09" w:rsidRPr="00AA1EB0">
        <w:rPr>
          <w:rFonts w:ascii="Arial" w:hAnsi="Arial" w:cs="Arial"/>
        </w:rPr>
        <w:t>sought either within or outside the sub-panel</w:t>
      </w:r>
      <w:r w:rsidRPr="00AA1EB0">
        <w:rPr>
          <w:rFonts w:ascii="Arial" w:hAnsi="Arial" w:cs="Arial"/>
        </w:rPr>
        <w:t xml:space="preserve">. </w:t>
      </w:r>
      <w:r w:rsidR="00B247E3" w:rsidRPr="00AA1EB0">
        <w:rPr>
          <w:rFonts w:ascii="Arial" w:hAnsi="Arial" w:cs="Arial"/>
        </w:rPr>
        <w:t xml:space="preserve">The cross-referral flag should be used to request that an output – that </w:t>
      </w:r>
      <w:r w:rsidR="00AA1EB0">
        <w:rPr>
          <w:rFonts w:ascii="Arial" w:hAnsi="Arial" w:cs="Arial"/>
        </w:rPr>
        <w:t>could</w:t>
      </w:r>
      <w:r w:rsidR="00C45D09" w:rsidRPr="00AA1EB0">
        <w:rPr>
          <w:rFonts w:ascii="Arial" w:hAnsi="Arial" w:cs="Arial"/>
        </w:rPr>
        <w:t xml:space="preserve"> be mono- or</w:t>
      </w:r>
      <w:r w:rsidR="00B247E3" w:rsidRPr="00AA1EB0">
        <w:rPr>
          <w:rFonts w:ascii="Arial" w:hAnsi="Arial" w:cs="Arial"/>
        </w:rPr>
        <w:t xml:space="preserve"> interdisciplinary – </w:t>
      </w:r>
      <w:r w:rsidR="00C45D09" w:rsidRPr="00AA1EB0">
        <w:rPr>
          <w:rFonts w:ascii="Arial" w:hAnsi="Arial" w:cs="Arial"/>
        </w:rPr>
        <w:t xml:space="preserve">submitted in one UOA </w:t>
      </w:r>
      <w:r w:rsidR="00B247E3" w:rsidRPr="00AA1EB0">
        <w:rPr>
          <w:rFonts w:ascii="Arial" w:hAnsi="Arial" w:cs="Arial"/>
        </w:rPr>
        <w:t>should be cross-referred to another sub-panel for advice</w:t>
      </w:r>
      <w:r w:rsidR="00C45D09" w:rsidRPr="00AA1EB0">
        <w:rPr>
          <w:rFonts w:ascii="Arial" w:hAnsi="Arial" w:cs="Arial"/>
        </w:rPr>
        <w:t xml:space="preserve">. </w:t>
      </w:r>
    </w:p>
    <w:p w14:paraId="728D2EDA" w14:textId="77777777" w:rsidR="003A68FE" w:rsidRPr="00AA1EB0" w:rsidRDefault="003A68FE" w:rsidP="003A3BEE">
      <w:pPr>
        <w:pStyle w:val="ListParagraph"/>
        <w:spacing w:after="0" w:line="300" w:lineRule="atLeast"/>
        <w:ind w:left="0"/>
        <w:rPr>
          <w:rFonts w:ascii="Arial" w:hAnsi="Arial" w:cs="Arial"/>
        </w:rPr>
      </w:pPr>
    </w:p>
    <w:p w14:paraId="2D4B62E6" w14:textId="77A9C05C" w:rsidR="003A68FE" w:rsidRPr="00AA1EB0" w:rsidRDefault="003A68FE"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We wanted to encourage HEI</w:t>
      </w:r>
      <w:r w:rsidR="00C45D09" w:rsidRPr="00AA1EB0">
        <w:rPr>
          <w:rFonts w:ascii="Arial" w:hAnsi="Arial" w:cs="Arial"/>
        </w:rPr>
        <w:t>s to</w:t>
      </w:r>
      <w:r w:rsidRPr="00AA1EB0">
        <w:rPr>
          <w:rFonts w:ascii="Arial" w:hAnsi="Arial" w:cs="Arial"/>
        </w:rPr>
        <w:t xml:space="preserve"> use the flag </w:t>
      </w:r>
      <w:r w:rsidR="00C45D09" w:rsidRPr="00AA1EB0">
        <w:rPr>
          <w:rFonts w:ascii="Arial" w:hAnsi="Arial" w:cs="Arial"/>
        </w:rPr>
        <w:t>to identify</w:t>
      </w:r>
      <w:r w:rsidRPr="00AA1EB0">
        <w:rPr>
          <w:rFonts w:ascii="Arial" w:hAnsi="Arial" w:cs="Arial"/>
        </w:rPr>
        <w:t xml:space="preserve"> IDR and were clear that there should be no negative consequence for HEIs in doing so. We recommended that sub-panels should assess whether outputs are correctly identified as IDR, for the purposes of REF assessment. Where an output is incorrectly identified we advised that these should be assessed within the normal practice of the sub-panel.</w:t>
      </w:r>
      <w:r w:rsidR="00BA3225">
        <w:rPr>
          <w:rFonts w:ascii="Arial" w:hAnsi="Arial" w:cs="Arial"/>
        </w:rPr>
        <w:t xml:space="preserve"> However we also felt it was important to stress that where an output was ‘unflagged’</w:t>
      </w:r>
      <w:r w:rsidR="00AD1534">
        <w:rPr>
          <w:rFonts w:ascii="Arial" w:hAnsi="Arial" w:cs="Arial"/>
        </w:rPr>
        <w:t xml:space="preserve"> by the panel</w:t>
      </w:r>
      <w:r w:rsidR="00BA3225">
        <w:rPr>
          <w:rFonts w:ascii="Arial" w:hAnsi="Arial" w:cs="Arial"/>
        </w:rPr>
        <w:t xml:space="preserve"> there would be no detriment.</w:t>
      </w:r>
    </w:p>
    <w:p w14:paraId="401DD537" w14:textId="77777777" w:rsidR="003A68FE" w:rsidRPr="00AA1EB0" w:rsidRDefault="003A68FE" w:rsidP="007B29A2">
      <w:pPr>
        <w:pStyle w:val="ListParagraph"/>
        <w:spacing w:after="0" w:line="300" w:lineRule="atLeast"/>
        <w:ind w:left="360"/>
        <w:rPr>
          <w:rFonts w:ascii="Arial" w:eastAsia="Times New Roman" w:hAnsi="Arial" w:cs="Arial"/>
          <w:b/>
          <w:color w:val="000000" w:themeColor="text1"/>
          <w:u w:val="single"/>
          <w:lang w:val="en-GB" w:eastAsia="en-GB"/>
        </w:rPr>
      </w:pPr>
    </w:p>
    <w:p w14:paraId="538979A5" w14:textId="2360AEE4" w:rsidR="003A68FE" w:rsidRPr="003A3BEE" w:rsidRDefault="003A68FE" w:rsidP="003A3BEE">
      <w:pPr>
        <w:spacing w:after="0" w:line="300" w:lineRule="atLeast"/>
        <w:outlineLvl w:val="2"/>
        <w:rPr>
          <w:rFonts w:ascii="Arial" w:eastAsia="Times New Roman" w:hAnsi="Arial" w:cs="Arial"/>
          <w:color w:val="000000" w:themeColor="text1"/>
          <w:u w:val="single"/>
          <w:lang w:val="en-GB" w:eastAsia="en-GB"/>
        </w:rPr>
      </w:pPr>
      <w:bookmarkStart w:id="14" w:name="_Toc3200576"/>
      <w:r w:rsidRPr="003A3BEE">
        <w:rPr>
          <w:rFonts w:ascii="Arial" w:eastAsia="Times New Roman" w:hAnsi="Arial" w:cs="Arial"/>
          <w:b/>
          <w:color w:val="000000" w:themeColor="text1"/>
          <w:u w:val="single"/>
          <w:lang w:val="en-GB" w:eastAsia="en-GB"/>
        </w:rPr>
        <w:t>Definition:</w:t>
      </w:r>
      <w:bookmarkEnd w:id="14"/>
      <w:r w:rsidRPr="003A3BEE">
        <w:rPr>
          <w:rFonts w:ascii="Arial" w:eastAsia="Times New Roman" w:hAnsi="Arial" w:cs="Arial"/>
          <w:b/>
          <w:color w:val="000000" w:themeColor="text1"/>
          <w:u w:val="single"/>
          <w:lang w:val="en-GB" w:eastAsia="en-GB"/>
        </w:rPr>
        <w:t xml:space="preserve"> </w:t>
      </w:r>
    </w:p>
    <w:p w14:paraId="28F9C479" w14:textId="77777777" w:rsidR="00C45D09" w:rsidRPr="00AA1EB0" w:rsidRDefault="003A68FE" w:rsidP="003A3BEE">
      <w:pPr>
        <w:pStyle w:val="ListParagraph"/>
        <w:numPr>
          <w:ilvl w:val="0"/>
          <w:numId w:val="2"/>
        </w:numPr>
        <w:spacing w:after="0" w:line="300" w:lineRule="atLeast"/>
        <w:ind w:left="0" w:firstLine="0"/>
        <w:rPr>
          <w:rFonts w:ascii="Arial" w:hAnsi="Arial" w:cs="Arial"/>
        </w:rPr>
      </w:pPr>
      <w:r w:rsidRPr="003445B3">
        <w:rPr>
          <w:rFonts w:ascii="Arial" w:hAnsi="Arial" w:cs="Arial"/>
        </w:rPr>
        <w:t xml:space="preserve">Further to the consultation feedback we were asked to consider a definition of IDR for the purposes of the REF. </w:t>
      </w:r>
      <w:r w:rsidR="00C45D09" w:rsidRPr="00AA1EB0">
        <w:rPr>
          <w:rFonts w:ascii="Arial" w:hAnsi="Arial" w:cs="Arial"/>
        </w:rPr>
        <w:t xml:space="preserve">Developing and refining the definition was undertaken iteratively throughout the meetings to February 2018, and through correspondence during the criteria-setting phase in order to respond to feedback from the panels. </w:t>
      </w:r>
    </w:p>
    <w:p w14:paraId="1F55B134" w14:textId="581C881C" w:rsidR="003A68FE" w:rsidRPr="00AA1EB0" w:rsidRDefault="003A68FE" w:rsidP="003A3BEE">
      <w:pPr>
        <w:pStyle w:val="ListParagraph"/>
        <w:spacing w:after="0" w:line="300" w:lineRule="atLeast"/>
        <w:ind w:left="0"/>
        <w:rPr>
          <w:rFonts w:ascii="Arial" w:hAnsi="Arial" w:cs="Arial"/>
        </w:rPr>
      </w:pPr>
    </w:p>
    <w:p w14:paraId="357BE78A" w14:textId="4586BB39" w:rsidR="003A68FE" w:rsidRPr="003445B3" w:rsidRDefault="003A68FE" w:rsidP="003A3BEE">
      <w:pPr>
        <w:pStyle w:val="ListParagraph"/>
        <w:numPr>
          <w:ilvl w:val="0"/>
          <w:numId w:val="2"/>
        </w:numPr>
        <w:spacing w:after="0" w:line="300" w:lineRule="atLeast"/>
        <w:ind w:left="0" w:firstLine="0"/>
        <w:rPr>
          <w:rFonts w:ascii="Arial" w:hAnsi="Arial" w:cs="Arial"/>
        </w:rPr>
      </w:pPr>
      <w:r w:rsidRPr="003445B3">
        <w:rPr>
          <w:rFonts w:ascii="Arial" w:hAnsi="Arial" w:cs="Arial"/>
        </w:rPr>
        <w:t xml:space="preserve">We </w:t>
      </w:r>
      <w:r w:rsidR="00C45D09" w:rsidRPr="003445B3">
        <w:rPr>
          <w:rFonts w:ascii="Arial" w:hAnsi="Arial" w:cs="Arial"/>
        </w:rPr>
        <w:t>were clear that the REF required</w:t>
      </w:r>
      <w:r w:rsidRPr="003445B3">
        <w:rPr>
          <w:rFonts w:ascii="Arial" w:hAnsi="Arial" w:cs="Arial"/>
        </w:rPr>
        <w:t xml:space="preserve"> a definition </w:t>
      </w:r>
      <w:r w:rsidR="00C45D09" w:rsidRPr="003445B3">
        <w:rPr>
          <w:rFonts w:ascii="Arial" w:hAnsi="Arial" w:cs="Arial"/>
        </w:rPr>
        <w:t xml:space="preserve">that would </w:t>
      </w:r>
      <w:r w:rsidRPr="003445B3">
        <w:rPr>
          <w:rFonts w:ascii="Arial" w:hAnsi="Arial" w:cs="Arial"/>
        </w:rPr>
        <w:t xml:space="preserve">ensure sufficient clarity to support </w:t>
      </w:r>
      <w:r w:rsidR="00C45D09" w:rsidRPr="003445B3">
        <w:rPr>
          <w:rFonts w:ascii="Arial" w:hAnsi="Arial" w:cs="Arial"/>
        </w:rPr>
        <w:t xml:space="preserve">HEIs in their </w:t>
      </w:r>
      <w:r w:rsidRPr="003445B3">
        <w:rPr>
          <w:rFonts w:ascii="Arial" w:hAnsi="Arial" w:cs="Arial"/>
        </w:rPr>
        <w:t>identification of IDR</w:t>
      </w:r>
      <w:r w:rsidR="00C45D09" w:rsidRPr="003445B3">
        <w:rPr>
          <w:rFonts w:ascii="Arial" w:hAnsi="Arial" w:cs="Arial"/>
        </w:rPr>
        <w:t xml:space="preserve"> and give them confidence to use the flag</w:t>
      </w:r>
      <w:r w:rsidRPr="003445B3">
        <w:rPr>
          <w:rFonts w:ascii="Arial" w:hAnsi="Arial" w:cs="Arial"/>
        </w:rPr>
        <w:t xml:space="preserve">. This decision took into account the consultation feedback that, without a clear definition, it would be challenging for institutions to accurately identify their IDR outputs. We also recognised that the framing of any definition </w:t>
      </w:r>
      <w:r w:rsidR="00BA3225">
        <w:rPr>
          <w:rFonts w:ascii="Arial" w:hAnsi="Arial" w:cs="Arial"/>
        </w:rPr>
        <w:t>might</w:t>
      </w:r>
      <w:r w:rsidR="00BA3225" w:rsidRPr="003445B3">
        <w:rPr>
          <w:rFonts w:ascii="Arial" w:hAnsi="Arial" w:cs="Arial"/>
        </w:rPr>
        <w:t xml:space="preserve"> </w:t>
      </w:r>
      <w:r w:rsidRPr="003445B3">
        <w:rPr>
          <w:rFonts w:ascii="Arial" w:hAnsi="Arial" w:cs="Arial"/>
        </w:rPr>
        <w:t xml:space="preserve">influence HEIs’ submission decisions, and that there was a need to consider any unintended consequences arising from this. </w:t>
      </w:r>
    </w:p>
    <w:p w14:paraId="770970C0" w14:textId="77777777" w:rsidR="003A68FE" w:rsidRPr="00AA1EB0" w:rsidRDefault="003A68FE" w:rsidP="003A3BEE">
      <w:pPr>
        <w:pStyle w:val="ListParagraph"/>
        <w:spacing w:after="0" w:line="300" w:lineRule="atLeast"/>
        <w:ind w:left="0"/>
        <w:rPr>
          <w:rFonts w:ascii="Arial" w:hAnsi="Arial" w:cs="Arial"/>
        </w:rPr>
      </w:pPr>
    </w:p>
    <w:p w14:paraId="40375B0E" w14:textId="7ADAE8C4" w:rsidR="003A68FE" w:rsidRPr="00AA1EB0" w:rsidRDefault="00C45D09" w:rsidP="003A3BEE">
      <w:pPr>
        <w:pStyle w:val="ListParagraph"/>
        <w:numPr>
          <w:ilvl w:val="0"/>
          <w:numId w:val="2"/>
        </w:numPr>
        <w:spacing w:after="0" w:line="300" w:lineRule="atLeast"/>
        <w:ind w:left="0" w:firstLine="0"/>
        <w:rPr>
          <w:rFonts w:ascii="Arial" w:hAnsi="Arial" w:cs="Arial"/>
        </w:rPr>
      </w:pPr>
      <w:r w:rsidRPr="003445B3">
        <w:rPr>
          <w:rFonts w:ascii="Arial" w:hAnsi="Arial" w:cs="Arial"/>
        </w:rPr>
        <w:t>It was im</w:t>
      </w:r>
      <w:r w:rsidRPr="00AA1EB0">
        <w:rPr>
          <w:rFonts w:ascii="Arial" w:eastAsia="Times New Roman" w:hAnsi="Arial" w:cs="Arial"/>
          <w:color w:val="000000" w:themeColor="text1"/>
          <w:lang w:val="en-GB" w:eastAsia="en-GB"/>
        </w:rPr>
        <w:t>portant for us to recogni</w:t>
      </w:r>
      <w:r w:rsidR="001C0825">
        <w:rPr>
          <w:rFonts w:ascii="Arial" w:eastAsia="Times New Roman" w:hAnsi="Arial" w:cs="Arial"/>
          <w:color w:val="000000" w:themeColor="text1"/>
          <w:lang w:val="en-GB" w:eastAsia="en-GB"/>
        </w:rPr>
        <w:t>s</w:t>
      </w:r>
      <w:r w:rsidRPr="00AA1EB0">
        <w:rPr>
          <w:rFonts w:ascii="Arial" w:eastAsia="Times New Roman" w:hAnsi="Arial" w:cs="Arial"/>
          <w:color w:val="000000" w:themeColor="text1"/>
          <w:lang w:val="en-GB" w:eastAsia="en-GB"/>
        </w:rPr>
        <w:t xml:space="preserve">e and consider the variety of related concepts, terms and definitions for research undertaken using theories and methodologies associated with two or more differing disciplines. </w:t>
      </w:r>
      <w:r w:rsidR="003A68FE" w:rsidRPr="00AA1EB0">
        <w:rPr>
          <w:rFonts w:ascii="Arial" w:hAnsi="Arial" w:cs="Arial"/>
        </w:rPr>
        <w:t xml:space="preserve">In developing our advice on a definition we considered wider literature on defining inter, multi, cross and trans-disciplinary research (see </w:t>
      </w:r>
      <w:r w:rsidR="005B5A01">
        <w:rPr>
          <w:rFonts w:ascii="Arial" w:hAnsi="Arial" w:cs="Arial"/>
        </w:rPr>
        <w:t>Annex C</w:t>
      </w:r>
      <w:r w:rsidR="003A68FE" w:rsidRPr="00AA1EB0">
        <w:rPr>
          <w:rFonts w:ascii="Arial" w:hAnsi="Arial" w:cs="Arial"/>
        </w:rPr>
        <w:t>)</w:t>
      </w:r>
      <w:r w:rsidR="007425FE">
        <w:rPr>
          <w:rFonts w:ascii="Arial" w:hAnsi="Arial" w:cs="Arial"/>
        </w:rPr>
        <w:t xml:space="preserve">, </w:t>
      </w:r>
      <w:r w:rsidR="00B8558E">
        <w:rPr>
          <w:rFonts w:ascii="Arial" w:hAnsi="Arial" w:cs="Arial"/>
        </w:rPr>
        <w:t xml:space="preserve">and recognised the need to incorporate </w:t>
      </w:r>
      <w:r w:rsidR="007425FE">
        <w:rPr>
          <w:rFonts w:ascii="Arial" w:hAnsi="Arial" w:cs="Arial"/>
        </w:rPr>
        <w:t xml:space="preserve">research </w:t>
      </w:r>
      <w:r w:rsidR="00A55665">
        <w:rPr>
          <w:rFonts w:ascii="Arial" w:hAnsi="Arial" w:cs="Arial"/>
        </w:rPr>
        <w:t xml:space="preserve">outside of </w:t>
      </w:r>
      <w:r w:rsidR="007425FE">
        <w:rPr>
          <w:rFonts w:ascii="Arial" w:hAnsi="Arial" w:cs="Arial"/>
        </w:rPr>
        <w:t>established</w:t>
      </w:r>
      <w:r w:rsidR="00A55665">
        <w:rPr>
          <w:rFonts w:ascii="Arial" w:hAnsi="Arial" w:cs="Arial"/>
        </w:rPr>
        <w:t xml:space="preserve"> disc</w:t>
      </w:r>
      <w:r w:rsidR="007425FE">
        <w:rPr>
          <w:rFonts w:ascii="Arial" w:hAnsi="Arial" w:cs="Arial"/>
        </w:rPr>
        <w:t xml:space="preserve">iplinary </w:t>
      </w:r>
      <w:r w:rsidR="00A55665">
        <w:rPr>
          <w:rFonts w:ascii="Arial" w:hAnsi="Arial" w:cs="Arial"/>
        </w:rPr>
        <w:t>approaches</w:t>
      </w:r>
      <w:r w:rsidR="006B54B9">
        <w:rPr>
          <w:rFonts w:ascii="Arial" w:hAnsi="Arial" w:cs="Arial"/>
        </w:rPr>
        <w:t xml:space="preserve"> within our considerations</w:t>
      </w:r>
      <w:r w:rsidR="007425FE">
        <w:rPr>
          <w:rFonts w:ascii="Arial" w:hAnsi="Arial" w:cs="Arial"/>
        </w:rPr>
        <w:t>.</w:t>
      </w:r>
      <w:r w:rsidR="003A68FE" w:rsidRPr="00AA1EB0">
        <w:rPr>
          <w:rFonts w:ascii="Arial" w:hAnsi="Arial" w:cs="Arial"/>
        </w:rPr>
        <w:t xml:space="preserve"> </w:t>
      </w:r>
    </w:p>
    <w:p w14:paraId="26ACF1BE" w14:textId="77777777" w:rsidR="003A68FE" w:rsidRPr="00AA1EB0" w:rsidRDefault="003A68FE" w:rsidP="003A3BEE">
      <w:pPr>
        <w:pStyle w:val="ListParagraph"/>
        <w:spacing w:after="0" w:line="300" w:lineRule="atLeast"/>
        <w:ind w:left="0"/>
        <w:rPr>
          <w:rFonts w:ascii="Arial" w:hAnsi="Arial" w:cs="Arial"/>
        </w:rPr>
      </w:pPr>
    </w:p>
    <w:p w14:paraId="53C2CEB4" w14:textId="1F3EE054" w:rsidR="003A68FE" w:rsidRPr="00AA1EB0" w:rsidRDefault="00C45D09"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W</w:t>
      </w:r>
      <w:r w:rsidR="003A68FE" w:rsidRPr="00AA1EB0">
        <w:rPr>
          <w:rFonts w:ascii="Arial" w:hAnsi="Arial" w:cs="Arial"/>
        </w:rPr>
        <w:t>e noted that practice within disciplines develops over time, including the adoption and use of approaches originating in or associated wit</w:t>
      </w:r>
      <w:r w:rsidRPr="00AA1EB0">
        <w:rPr>
          <w:rFonts w:ascii="Arial" w:hAnsi="Arial" w:cs="Arial"/>
        </w:rPr>
        <w:t>h</w:t>
      </w:r>
      <w:r w:rsidR="003A68FE" w:rsidRPr="00AA1EB0">
        <w:rPr>
          <w:rFonts w:ascii="Arial" w:hAnsi="Arial" w:cs="Arial"/>
        </w:rPr>
        <w:t xml:space="preserve"> other disciplines</w:t>
      </w:r>
      <w:r w:rsidRPr="00AA1EB0">
        <w:rPr>
          <w:rFonts w:ascii="Arial" w:hAnsi="Arial" w:cs="Arial"/>
        </w:rPr>
        <w:t>,</w:t>
      </w:r>
      <w:r w:rsidR="003A68FE" w:rsidRPr="00AA1EB0">
        <w:rPr>
          <w:rFonts w:ascii="Arial" w:hAnsi="Arial" w:cs="Arial"/>
        </w:rPr>
        <w:t xml:space="preserve"> and </w:t>
      </w:r>
      <w:r w:rsidRPr="00AA1EB0">
        <w:rPr>
          <w:rFonts w:ascii="Arial" w:hAnsi="Arial" w:cs="Arial"/>
        </w:rPr>
        <w:t xml:space="preserve">that </w:t>
      </w:r>
      <w:r w:rsidR="003A68FE" w:rsidRPr="00AA1EB0">
        <w:rPr>
          <w:rFonts w:ascii="Arial" w:hAnsi="Arial" w:cs="Arial"/>
        </w:rPr>
        <w:t xml:space="preserve">these may become established research practice. </w:t>
      </w:r>
      <w:r w:rsidRPr="00AA1EB0">
        <w:rPr>
          <w:rFonts w:ascii="Arial" w:hAnsi="Arial" w:cs="Arial"/>
        </w:rPr>
        <w:t>R</w:t>
      </w:r>
      <w:r w:rsidR="003A68FE" w:rsidRPr="00AA1EB0">
        <w:rPr>
          <w:rFonts w:ascii="Arial" w:hAnsi="Arial" w:cs="Arial"/>
        </w:rPr>
        <w:t>esearch may then</w:t>
      </w:r>
      <w:r w:rsidR="00265395" w:rsidRPr="00AA1EB0">
        <w:rPr>
          <w:rFonts w:ascii="Arial" w:hAnsi="Arial" w:cs="Arial"/>
        </w:rPr>
        <w:t xml:space="preserve"> </w:t>
      </w:r>
      <w:r w:rsidR="003A68FE" w:rsidRPr="00AA1EB0">
        <w:rPr>
          <w:rFonts w:ascii="Arial" w:hAnsi="Arial" w:cs="Arial"/>
        </w:rPr>
        <w:t xml:space="preserve">fall within </w:t>
      </w:r>
      <w:r w:rsidR="008E565D">
        <w:rPr>
          <w:rFonts w:ascii="Arial" w:hAnsi="Arial" w:cs="Arial"/>
        </w:rPr>
        <w:t xml:space="preserve">the </w:t>
      </w:r>
      <w:r w:rsidR="003A68FE" w:rsidRPr="00AA1EB0">
        <w:rPr>
          <w:rFonts w:ascii="Arial" w:hAnsi="Arial" w:cs="Arial"/>
        </w:rPr>
        <w:t xml:space="preserve">scope of a </w:t>
      </w:r>
      <w:r w:rsidR="00265395" w:rsidRPr="00AA1EB0">
        <w:rPr>
          <w:rFonts w:ascii="Arial" w:hAnsi="Arial" w:cs="Arial"/>
        </w:rPr>
        <w:t xml:space="preserve">single </w:t>
      </w:r>
      <w:r w:rsidR="003A68FE" w:rsidRPr="00AA1EB0">
        <w:rPr>
          <w:rFonts w:ascii="Arial" w:hAnsi="Arial" w:cs="Arial"/>
        </w:rPr>
        <w:t>REF U</w:t>
      </w:r>
      <w:r w:rsidR="00241372">
        <w:rPr>
          <w:rFonts w:ascii="Arial" w:hAnsi="Arial" w:cs="Arial"/>
        </w:rPr>
        <w:t>o</w:t>
      </w:r>
      <w:r w:rsidR="003A68FE" w:rsidRPr="00AA1EB0">
        <w:rPr>
          <w:rFonts w:ascii="Arial" w:hAnsi="Arial" w:cs="Arial"/>
        </w:rPr>
        <w:t xml:space="preserve">A and could be assessed by the sub-panel within their normal practice. We therefore identified that there should be an innovative aspect to the research in order to differentiate </w:t>
      </w:r>
      <w:r w:rsidRPr="00AA1EB0">
        <w:rPr>
          <w:rFonts w:ascii="Arial" w:hAnsi="Arial" w:cs="Arial"/>
        </w:rPr>
        <w:t xml:space="preserve">it </w:t>
      </w:r>
      <w:r w:rsidR="003A68FE" w:rsidRPr="00AA1EB0">
        <w:rPr>
          <w:rFonts w:ascii="Arial" w:hAnsi="Arial" w:cs="Arial"/>
        </w:rPr>
        <w:t xml:space="preserve">from established disciplinary practice. </w:t>
      </w:r>
    </w:p>
    <w:p w14:paraId="7380B092" w14:textId="77777777" w:rsidR="003A68FE" w:rsidRPr="00AA1EB0" w:rsidRDefault="003A68FE" w:rsidP="003A3BEE">
      <w:pPr>
        <w:pStyle w:val="ListParagraph"/>
        <w:spacing w:after="0" w:line="300" w:lineRule="atLeast"/>
        <w:ind w:left="0"/>
        <w:rPr>
          <w:rFonts w:ascii="Arial" w:hAnsi="Arial" w:cs="Arial"/>
        </w:rPr>
      </w:pPr>
    </w:p>
    <w:p w14:paraId="2B02C16F" w14:textId="5CC94190" w:rsidR="003A68FE" w:rsidRPr="00AA1EB0" w:rsidRDefault="003A68FE"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Our considerations therefore sought to emphasi</w:t>
      </w:r>
      <w:r w:rsidR="00C45D09" w:rsidRPr="00AA1EB0">
        <w:rPr>
          <w:rFonts w:ascii="Arial" w:hAnsi="Arial" w:cs="Arial"/>
        </w:rPr>
        <w:t>s</w:t>
      </w:r>
      <w:r w:rsidRPr="00AA1EB0">
        <w:rPr>
          <w:rFonts w:ascii="Arial" w:hAnsi="Arial" w:cs="Arial"/>
        </w:rPr>
        <w:t xml:space="preserve">e recognition of research which draws on the theories, methods and/or traditions of differing disciplines innovatively. </w:t>
      </w:r>
      <w:r w:rsidR="00E270D0">
        <w:rPr>
          <w:rFonts w:ascii="Arial" w:hAnsi="Arial" w:cs="Arial"/>
        </w:rPr>
        <w:t>Such research</w:t>
      </w:r>
      <w:r w:rsidR="00E270D0" w:rsidRPr="00AA1EB0">
        <w:rPr>
          <w:rFonts w:ascii="Arial" w:hAnsi="Arial" w:cs="Arial"/>
        </w:rPr>
        <w:t xml:space="preserve"> </w:t>
      </w:r>
      <w:r w:rsidRPr="00AA1EB0">
        <w:rPr>
          <w:rFonts w:ascii="Arial" w:hAnsi="Arial" w:cs="Arial"/>
        </w:rPr>
        <w:t xml:space="preserve">should be able to demonstrate clear interaction and integration of the component elements, and should move beyond established disciplinary practice, achieving outcomes which would not have otherwise have been possible. </w:t>
      </w:r>
    </w:p>
    <w:p w14:paraId="23C3847C" w14:textId="77777777" w:rsidR="003A68FE" w:rsidRPr="00AA1EB0" w:rsidRDefault="003A68FE" w:rsidP="003A3BEE">
      <w:pPr>
        <w:pStyle w:val="ListParagraph"/>
        <w:spacing w:after="0" w:line="300" w:lineRule="atLeast"/>
        <w:ind w:left="0"/>
        <w:rPr>
          <w:rFonts w:ascii="Arial" w:hAnsi="Arial" w:cs="Arial"/>
        </w:rPr>
      </w:pPr>
    </w:p>
    <w:p w14:paraId="1EBE55A0" w14:textId="5F2E2D61" w:rsidR="003A68FE" w:rsidRPr="00AA1EB0" w:rsidRDefault="003A68FE"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 xml:space="preserve">Based on these considerations, we developed our initial advice for a working definition of IDR. This advice was taken to main and sub-panel meetings, including meetings of the IDR advisers within </w:t>
      </w:r>
      <w:r w:rsidR="0078312F">
        <w:rPr>
          <w:rFonts w:ascii="Arial" w:hAnsi="Arial" w:cs="Arial"/>
        </w:rPr>
        <w:t>each</w:t>
      </w:r>
      <w:r w:rsidR="0078312F" w:rsidRPr="00AA1EB0">
        <w:rPr>
          <w:rFonts w:ascii="Arial" w:hAnsi="Arial" w:cs="Arial"/>
        </w:rPr>
        <w:t xml:space="preserve"> </w:t>
      </w:r>
      <w:r w:rsidRPr="00AA1EB0">
        <w:rPr>
          <w:rFonts w:ascii="Arial" w:hAnsi="Arial" w:cs="Arial"/>
        </w:rPr>
        <w:t>main panel, for feedback during the first round of criteria development.</w:t>
      </w:r>
    </w:p>
    <w:p w14:paraId="06E7A708" w14:textId="77777777" w:rsidR="003A68FE" w:rsidRPr="00AA1EB0" w:rsidRDefault="003A68FE" w:rsidP="003A3BEE">
      <w:pPr>
        <w:pStyle w:val="ListParagraph"/>
        <w:spacing w:after="0" w:line="300" w:lineRule="atLeast"/>
        <w:ind w:left="0"/>
        <w:rPr>
          <w:rFonts w:ascii="Arial" w:hAnsi="Arial" w:cs="Arial"/>
        </w:rPr>
      </w:pPr>
    </w:p>
    <w:p w14:paraId="7FFF9174" w14:textId="7658E4E1" w:rsidR="003A68FE" w:rsidRPr="00AA1EB0" w:rsidRDefault="003A68FE"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 xml:space="preserve"> Feedback from panels </w:t>
      </w:r>
      <w:r w:rsidR="00265395" w:rsidRPr="00AA1EB0">
        <w:rPr>
          <w:rFonts w:ascii="Arial" w:hAnsi="Arial" w:cs="Arial"/>
        </w:rPr>
        <w:t xml:space="preserve">sought </w:t>
      </w:r>
      <w:r w:rsidRPr="00AA1EB0">
        <w:rPr>
          <w:rFonts w:ascii="Arial" w:hAnsi="Arial" w:cs="Arial"/>
        </w:rPr>
        <w:t>further development of the definition for clarity. It was noted that a significant amount of research across all UOAs could be seen to go beyond</w:t>
      </w:r>
      <w:r w:rsidR="009C62A8">
        <w:rPr>
          <w:rFonts w:ascii="Arial" w:hAnsi="Arial" w:cs="Arial"/>
        </w:rPr>
        <w:t xml:space="preserve"> </w:t>
      </w:r>
      <w:r w:rsidRPr="00AA1EB0">
        <w:rPr>
          <w:rFonts w:ascii="Arial" w:hAnsi="Arial" w:cs="Arial"/>
        </w:rPr>
        <w:t>core disciplinary methodologies, and there were concerns that this definition could lead to significant volumes of submissions with approaches which may already be well</w:t>
      </w:r>
      <w:r w:rsidR="00C45D09" w:rsidRPr="00AA1EB0">
        <w:rPr>
          <w:rFonts w:ascii="Arial" w:hAnsi="Arial" w:cs="Arial"/>
        </w:rPr>
        <w:t>-</w:t>
      </w:r>
      <w:r w:rsidRPr="00AA1EB0">
        <w:rPr>
          <w:rFonts w:ascii="Arial" w:hAnsi="Arial" w:cs="Arial"/>
        </w:rPr>
        <w:t xml:space="preserve">established practice within the UOA. It was suggested that a stronger focus could be achieved through </w:t>
      </w:r>
      <w:r w:rsidR="00C45D09" w:rsidRPr="00AA1EB0">
        <w:rPr>
          <w:rFonts w:ascii="Arial" w:hAnsi="Arial" w:cs="Arial"/>
        </w:rPr>
        <w:t xml:space="preserve">a </w:t>
      </w:r>
      <w:r w:rsidRPr="00AA1EB0">
        <w:rPr>
          <w:rFonts w:ascii="Arial" w:hAnsi="Arial" w:cs="Arial"/>
        </w:rPr>
        <w:t xml:space="preserve">definition </w:t>
      </w:r>
      <w:r w:rsidR="00C45D09" w:rsidRPr="00AA1EB0">
        <w:rPr>
          <w:rFonts w:ascii="Arial" w:hAnsi="Arial" w:cs="Arial"/>
        </w:rPr>
        <w:t xml:space="preserve">that emphasised </w:t>
      </w:r>
      <w:r w:rsidRPr="00AA1EB0">
        <w:rPr>
          <w:rFonts w:ascii="Arial" w:hAnsi="Arial" w:cs="Arial"/>
        </w:rPr>
        <w:t xml:space="preserve">integration of disciplinary approaches, and </w:t>
      </w:r>
      <w:r w:rsidR="00C45D09" w:rsidRPr="00AA1EB0">
        <w:rPr>
          <w:rFonts w:ascii="Arial" w:hAnsi="Arial" w:cs="Arial"/>
        </w:rPr>
        <w:t xml:space="preserve">made </w:t>
      </w:r>
      <w:r w:rsidRPr="00AA1EB0">
        <w:rPr>
          <w:rFonts w:ascii="Arial" w:hAnsi="Arial" w:cs="Arial"/>
        </w:rPr>
        <w:t>clear that IDR involves working beyond established disciplinary norms</w:t>
      </w:r>
      <w:r w:rsidR="00DB6BEC">
        <w:rPr>
          <w:rFonts w:ascii="Arial" w:hAnsi="Arial" w:cs="Arial"/>
        </w:rPr>
        <w:t>, and also include</w:t>
      </w:r>
      <w:r w:rsidR="00B8558E">
        <w:rPr>
          <w:rFonts w:ascii="Arial" w:hAnsi="Arial" w:cs="Arial"/>
        </w:rPr>
        <w:t xml:space="preserve">s </w:t>
      </w:r>
      <w:r w:rsidR="009C62A8">
        <w:rPr>
          <w:rFonts w:ascii="Arial" w:hAnsi="Arial" w:cs="Arial"/>
        </w:rPr>
        <w:t xml:space="preserve">research </w:t>
      </w:r>
      <w:r w:rsidR="00DB6BEC">
        <w:rPr>
          <w:rFonts w:ascii="Arial" w:hAnsi="Arial" w:cs="Arial"/>
        </w:rPr>
        <w:t xml:space="preserve">with no clear </w:t>
      </w:r>
      <w:r w:rsidR="009C62A8">
        <w:rPr>
          <w:rFonts w:ascii="Arial" w:hAnsi="Arial" w:cs="Arial"/>
        </w:rPr>
        <w:t>disciplin</w:t>
      </w:r>
      <w:r w:rsidR="00DB6BEC">
        <w:rPr>
          <w:rFonts w:ascii="Arial" w:hAnsi="Arial" w:cs="Arial"/>
        </w:rPr>
        <w:t>ary origin</w:t>
      </w:r>
      <w:r w:rsidRPr="00AA1EB0">
        <w:rPr>
          <w:rFonts w:ascii="Arial" w:hAnsi="Arial" w:cs="Arial"/>
        </w:rPr>
        <w:t>.</w:t>
      </w:r>
    </w:p>
    <w:p w14:paraId="0A7C0E26" w14:textId="77777777" w:rsidR="003A68FE" w:rsidRPr="00AA1EB0" w:rsidRDefault="003A68FE" w:rsidP="003A3BEE">
      <w:pPr>
        <w:pStyle w:val="ListParagraph"/>
        <w:spacing w:after="0" w:line="300" w:lineRule="atLeast"/>
        <w:ind w:left="0"/>
        <w:rPr>
          <w:rFonts w:ascii="Arial" w:hAnsi="Arial" w:cs="Arial"/>
        </w:rPr>
      </w:pPr>
      <w:r w:rsidRPr="00AA1EB0">
        <w:rPr>
          <w:rFonts w:ascii="Arial" w:hAnsi="Arial" w:cs="Arial"/>
        </w:rPr>
        <w:t xml:space="preserve"> </w:t>
      </w:r>
    </w:p>
    <w:p w14:paraId="543776C9" w14:textId="430E70E5" w:rsidR="003A68FE" w:rsidRPr="00AA1EB0" w:rsidRDefault="00C45D09"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S</w:t>
      </w:r>
      <w:r w:rsidR="003A68FE" w:rsidRPr="00AA1EB0">
        <w:rPr>
          <w:rFonts w:ascii="Arial" w:hAnsi="Arial" w:cs="Arial"/>
        </w:rPr>
        <w:t>ub-panel</w:t>
      </w:r>
      <w:r w:rsidRPr="00AA1EB0">
        <w:rPr>
          <w:rFonts w:ascii="Arial" w:hAnsi="Arial" w:cs="Arial"/>
        </w:rPr>
        <w:t>s also highlighted that their</w:t>
      </w:r>
      <w:r w:rsidR="003A68FE" w:rsidRPr="00AA1EB0">
        <w:rPr>
          <w:rFonts w:ascii="Arial" w:hAnsi="Arial" w:cs="Arial"/>
        </w:rPr>
        <w:t xml:space="preserve"> membership incorporates individuals with a range of knowledge, skills and experience within, across and beyond their disciplinary areas. Feedback noted that some sub-panels are significantly broad in their scope, representing a wide range of knowledge and skills. This being the case, much of the IDR submitted may fall within scope of the receiving UOA to assess, rather than necessarily requiring cross-panel working. </w:t>
      </w:r>
    </w:p>
    <w:p w14:paraId="6ED4D296" w14:textId="77777777" w:rsidR="003A68FE" w:rsidRPr="00AA1EB0" w:rsidRDefault="003A68FE" w:rsidP="003A3BEE">
      <w:pPr>
        <w:pStyle w:val="ListParagraph"/>
        <w:spacing w:after="0" w:line="300" w:lineRule="atLeast"/>
        <w:ind w:left="0"/>
        <w:rPr>
          <w:rFonts w:ascii="Arial" w:hAnsi="Arial" w:cs="Arial"/>
        </w:rPr>
      </w:pPr>
    </w:p>
    <w:p w14:paraId="759FAEF6" w14:textId="26D0CBE1" w:rsidR="003A68FE" w:rsidRPr="00AA1EB0" w:rsidRDefault="003A68FE"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 xml:space="preserve">The feedback allowed us to refine our definition, to identify </w:t>
      </w:r>
      <w:r w:rsidR="00C45D09" w:rsidRPr="00AA1EB0">
        <w:rPr>
          <w:rFonts w:ascii="Arial" w:hAnsi="Arial" w:cs="Arial"/>
        </w:rPr>
        <w:t xml:space="preserve">more clearly </w:t>
      </w:r>
      <w:r w:rsidRPr="00AA1EB0">
        <w:rPr>
          <w:rFonts w:ascii="Arial" w:hAnsi="Arial" w:cs="Arial"/>
        </w:rPr>
        <w:t>key features of IDR within the definition. Our conclusion was that</w:t>
      </w:r>
      <w:r w:rsidR="00C45D09" w:rsidRPr="00AA1EB0">
        <w:rPr>
          <w:rFonts w:ascii="Arial" w:hAnsi="Arial" w:cs="Arial"/>
        </w:rPr>
        <w:t>,</w:t>
      </w:r>
      <w:r w:rsidRPr="00AA1EB0">
        <w:rPr>
          <w:rFonts w:ascii="Arial" w:hAnsi="Arial" w:cs="Arial"/>
        </w:rPr>
        <w:t xml:space="preserve"> for the purposes of</w:t>
      </w:r>
      <w:r w:rsidR="00C45D09" w:rsidRPr="00AA1EB0">
        <w:rPr>
          <w:rFonts w:ascii="Arial" w:hAnsi="Arial" w:cs="Arial"/>
        </w:rPr>
        <w:t xml:space="preserve"> the</w:t>
      </w:r>
      <w:r w:rsidRPr="00AA1EB0">
        <w:rPr>
          <w:rFonts w:ascii="Arial" w:hAnsi="Arial" w:cs="Arial"/>
        </w:rPr>
        <w:t xml:space="preserve"> REF</w:t>
      </w:r>
      <w:r w:rsidR="00C45D09" w:rsidRPr="00AA1EB0">
        <w:rPr>
          <w:rFonts w:ascii="Arial" w:hAnsi="Arial" w:cs="Arial"/>
        </w:rPr>
        <w:t>,</w:t>
      </w:r>
      <w:r w:rsidRPr="00AA1EB0">
        <w:rPr>
          <w:rFonts w:ascii="Arial" w:hAnsi="Arial" w:cs="Arial"/>
        </w:rPr>
        <w:t xml:space="preserve"> there should be a broad and inclusive definition, providing an emphasis that there should be clear interaction between the differing disciplinary</w:t>
      </w:r>
      <w:r w:rsidR="00DB6BEC" w:rsidRPr="00AA1EB0">
        <w:rPr>
          <w:rFonts w:ascii="Arial" w:hAnsi="Arial" w:cs="Arial"/>
        </w:rPr>
        <w:t xml:space="preserve"> </w:t>
      </w:r>
      <w:r w:rsidRPr="00AA1EB0">
        <w:rPr>
          <w:rFonts w:ascii="Arial" w:hAnsi="Arial" w:cs="Arial"/>
        </w:rPr>
        <w:t>elements of research</w:t>
      </w:r>
      <w:r w:rsidR="008E565D">
        <w:rPr>
          <w:rFonts w:ascii="Arial" w:hAnsi="Arial" w:cs="Arial"/>
        </w:rPr>
        <w:t xml:space="preserve"> (including approaches outside of established disciplinary traditions or practices)</w:t>
      </w:r>
      <w:r w:rsidR="00DB6BEC">
        <w:rPr>
          <w:rFonts w:ascii="Arial" w:hAnsi="Arial" w:cs="Arial"/>
        </w:rPr>
        <w:t xml:space="preserve">, </w:t>
      </w:r>
      <w:r w:rsidRPr="00AA1EB0">
        <w:rPr>
          <w:rFonts w:ascii="Arial" w:hAnsi="Arial" w:cs="Arial"/>
        </w:rPr>
        <w:t xml:space="preserve">but without narrowly confining what this should be or how it should be achieved. </w:t>
      </w:r>
    </w:p>
    <w:p w14:paraId="0A0817EB" w14:textId="77777777" w:rsidR="003A68FE" w:rsidRPr="00AA1EB0" w:rsidRDefault="003A68FE" w:rsidP="003A3BEE">
      <w:pPr>
        <w:pStyle w:val="ListParagraph"/>
        <w:spacing w:after="0" w:line="300" w:lineRule="atLeast"/>
        <w:ind w:left="0"/>
        <w:rPr>
          <w:rFonts w:ascii="Arial" w:hAnsi="Arial" w:cs="Arial"/>
        </w:rPr>
      </w:pPr>
    </w:p>
    <w:p w14:paraId="738A5248" w14:textId="77777777" w:rsidR="003A68FE" w:rsidRPr="00AA1EB0" w:rsidRDefault="003A68FE"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The definition of IDR recommended by IDAP is:</w:t>
      </w:r>
    </w:p>
    <w:p w14:paraId="1C83920A" w14:textId="77777777" w:rsidR="003A68FE" w:rsidRPr="00AA1EB0" w:rsidRDefault="003A68FE" w:rsidP="003A3BEE">
      <w:pPr>
        <w:spacing w:after="0" w:line="300" w:lineRule="atLeast"/>
        <w:ind w:left="720"/>
        <w:rPr>
          <w:rFonts w:ascii="Arial" w:hAnsi="Arial" w:cs="Arial"/>
          <w:i/>
        </w:rPr>
      </w:pPr>
      <w:r w:rsidRPr="00AA1EB0">
        <w:rPr>
          <w:rFonts w:ascii="Arial" w:hAnsi="Arial" w:cs="Arial"/>
          <w:i/>
        </w:rPr>
        <w:t>“For the purposes of the REF, interdisciplinary research is understood to achieve outcomes (including new approaches) that could not be achieved by established disciplinary approaches alone. Interdisciplinary research features significant interaction between two or more disciplines and / or moves beyond established disciplinary foundations in applying or integrating research approaches from other disciplines.”</w:t>
      </w:r>
    </w:p>
    <w:p w14:paraId="00ACF585" w14:textId="77777777" w:rsidR="003A68FE" w:rsidRPr="00AA1EB0" w:rsidRDefault="003A68FE" w:rsidP="007B29A2">
      <w:pPr>
        <w:pStyle w:val="ListParagraph"/>
        <w:spacing w:after="0" w:line="300" w:lineRule="atLeast"/>
        <w:ind w:left="360"/>
        <w:rPr>
          <w:rFonts w:ascii="Arial" w:eastAsia="Times New Roman" w:hAnsi="Arial" w:cs="Arial"/>
          <w:color w:val="000000"/>
          <w:lang w:eastAsia="en-GB"/>
        </w:rPr>
      </w:pPr>
    </w:p>
    <w:p w14:paraId="0831852F" w14:textId="7CBD6EE0" w:rsidR="00920A0B" w:rsidRPr="008A4C66" w:rsidRDefault="00920A0B" w:rsidP="0034062C">
      <w:pPr>
        <w:pStyle w:val="Heading2"/>
        <w:rPr>
          <w:rFonts w:ascii="Arial" w:eastAsia="Times New Roman" w:hAnsi="Arial" w:cs="Arial"/>
          <w:b/>
          <w:color w:val="000000" w:themeColor="text1"/>
          <w:sz w:val="21"/>
          <w:szCs w:val="21"/>
          <w:lang w:eastAsia="en-GB"/>
        </w:rPr>
      </w:pPr>
      <w:bookmarkStart w:id="15" w:name="_Toc3200577"/>
      <w:r w:rsidRPr="008A4C66">
        <w:rPr>
          <w:rFonts w:ascii="Arial" w:eastAsia="Times New Roman" w:hAnsi="Arial" w:cs="Arial"/>
          <w:b/>
          <w:color w:val="000000" w:themeColor="text1"/>
          <w:sz w:val="21"/>
          <w:szCs w:val="21"/>
          <w:lang w:eastAsia="en-GB"/>
        </w:rPr>
        <w:t>Appointment of IDR panel members</w:t>
      </w:r>
      <w:bookmarkEnd w:id="15"/>
    </w:p>
    <w:p w14:paraId="56DBEC69" w14:textId="12627B13" w:rsidR="00D45E55" w:rsidRDefault="00D45E55" w:rsidP="003A3BEE">
      <w:pPr>
        <w:pStyle w:val="ListParagraph"/>
        <w:numPr>
          <w:ilvl w:val="0"/>
          <w:numId w:val="2"/>
        </w:numPr>
        <w:spacing w:after="0" w:line="300" w:lineRule="atLeast"/>
        <w:ind w:left="0" w:firstLine="0"/>
        <w:rPr>
          <w:rFonts w:ascii="Arial" w:eastAsia="Times New Roman" w:hAnsi="Arial" w:cs="Arial"/>
          <w:color w:val="000000"/>
          <w:lang w:eastAsia="en-GB"/>
        </w:rPr>
      </w:pPr>
      <w:r w:rsidRPr="003445B3">
        <w:rPr>
          <w:rFonts w:ascii="Arial" w:eastAsia="Times New Roman" w:hAnsi="Arial" w:cs="Arial"/>
          <w:color w:val="000000"/>
          <w:lang w:eastAsia="en-GB"/>
        </w:rPr>
        <w:t>IDAP was invited to provide advice on the assessment of IDR in the REF. The consultation had identified two possible approaches: retain assessment of IDR outputs within the work of the sub-panel to which they are submitted</w:t>
      </w:r>
      <w:r w:rsidR="00B37C66">
        <w:rPr>
          <w:rFonts w:ascii="Arial" w:eastAsia="Times New Roman" w:hAnsi="Arial" w:cs="Arial"/>
          <w:color w:val="000000"/>
          <w:lang w:eastAsia="en-GB"/>
        </w:rPr>
        <w:t>;</w:t>
      </w:r>
      <w:r w:rsidR="00B37C66" w:rsidRPr="003445B3">
        <w:rPr>
          <w:rFonts w:ascii="Arial" w:eastAsia="Times New Roman" w:hAnsi="Arial" w:cs="Arial"/>
          <w:color w:val="000000"/>
          <w:lang w:eastAsia="en-GB"/>
        </w:rPr>
        <w:t xml:space="preserve"> </w:t>
      </w:r>
      <w:r w:rsidRPr="003445B3">
        <w:rPr>
          <w:rFonts w:ascii="Arial" w:eastAsia="Times New Roman" w:hAnsi="Arial" w:cs="Arial"/>
          <w:color w:val="000000"/>
          <w:lang w:eastAsia="en-GB"/>
        </w:rPr>
        <w:t xml:space="preserve">or that all IDR submitted should be assessed by a single, specialist IDR panel. A guiding principle throughout our work, was that IDR should not be seen as a </w:t>
      </w:r>
      <w:r w:rsidR="009E08D5">
        <w:rPr>
          <w:rFonts w:ascii="Arial" w:eastAsia="Times New Roman" w:hAnsi="Arial" w:cs="Arial"/>
          <w:color w:val="000000"/>
          <w:lang w:eastAsia="en-GB"/>
        </w:rPr>
        <w:t>‘</w:t>
      </w:r>
      <w:r w:rsidRPr="003445B3">
        <w:rPr>
          <w:rFonts w:ascii="Arial" w:eastAsia="Times New Roman" w:hAnsi="Arial" w:cs="Arial"/>
          <w:color w:val="000000"/>
          <w:lang w:eastAsia="en-GB"/>
        </w:rPr>
        <w:t>special case</w:t>
      </w:r>
      <w:r w:rsidR="009E08D5">
        <w:rPr>
          <w:rFonts w:ascii="Arial" w:eastAsia="Times New Roman" w:hAnsi="Arial" w:cs="Arial"/>
          <w:color w:val="000000"/>
          <w:lang w:eastAsia="en-GB"/>
        </w:rPr>
        <w:t>’</w:t>
      </w:r>
      <w:r w:rsidRPr="003445B3">
        <w:rPr>
          <w:rFonts w:ascii="Arial" w:eastAsia="Times New Roman" w:hAnsi="Arial" w:cs="Arial"/>
          <w:color w:val="000000"/>
          <w:lang w:eastAsia="en-GB"/>
        </w:rPr>
        <w:t xml:space="preserve"> or</w:t>
      </w:r>
      <w:r w:rsidR="006B54B9">
        <w:rPr>
          <w:rFonts w:ascii="Arial" w:eastAsia="Times New Roman" w:hAnsi="Arial" w:cs="Arial"/>
          <w:color w:val="000000"/>
          <w:lang w:eastAsia="en-GB"/>
        </w:rPr>
        <w:t>,</w:t>
      </w:r>
      <w:r w:rsidRPr="003445B3">
        <w:rPr>
          <w:rFonts w:ascii="Arial" w:eastAsia="Times New Roman" w:hAnsi="Arial" w:cs="Arial"/>
          <w:color w:val="000000"/>
          <w:lang w:eastAsia="en-GB"/>
        </w:rPr>
        <w:t xml:space="preserve"> conversely</w:t>
      </w:r>
      <w:r w:rsidR="006B54B9">
        <w:rPr>
          <w:rFonts w:ascii="Arial" w:eastAsia="Times New Roman" w:hAnsi="Arial" w:cs="Arial"/>
          <w:color w:val="000000"/>
          <w:lang w:eastAsia="en-GB"/>
        </w:rPr>
        <w:t>,</w:t>
      </w:r>
      <w:r w:rsidRPr="003445B3">
        <w:rPr>
          <w:rFonts w:ascii="Arial" w:eastAsia="Times New Roman" w:hAnsi="Arial" w:cs="Arial"/>
          <w:color w:val="000000"/>
          <w:lang w:eastAsia="en-GB"/>
        </w:rPr>
        <w:t xml:space="preserve"> marginal</w:t>
      </w:r>
      <w:r w:rsidR="007C3C1E">
        <w:rPr>
          <w:rFonts w:ascii="Arial" w:eastAsia="Times New Roman" w:hAnsi="Arial" w:cs="Arial"/>
          <w:color w:val="000000"/>
          <w:lang w:eastAsia="en-GB"/>
        </w:rPr>
        <w:t>ise</w:t>
      </w:r>
      <w:r w:rsidRPr="003445B3">
        <w:rPr>
          <w:rFonts w:ascii="Arial" w:eastAsia="Times New Roman" w:hAnsi="Arial" w:cs="Arial"/>
          <w:color w:val="000000"/>
          <w:lang w:eastAsia="en-GB"/>
        </w:rPr>
        <w:t xml:space="preserve">d for assessment. In considering our guidance on this issue we concluded </w:t>
      </w:r>
      <w:r w:rsidR="00B37C66">
        <w:rPr>
          <w:rFonts w:ascii="Arial" w:eastAsia="Times New Roman" w:hAnsi="Arial" w:cs="Arial"/>
          <w:color w:val="000000"/>
          <w:lang w:eastAsia="en-GB"/>
        </w:rPr>
        <w:t xml:space="preserve">that </w:t>
      </w:r>
      <w:r w:rsidRPr="003445B3">
        <w:rPr>
          <w:rFonts w:ascii="Arial" w:eastAsia="Times New Roman" w:hAnsi="Arial" w:cs="Arial"/>
          <w:color w:val="000000"/>
          <w:lang w:eastAsia="en-GB"/>
        </w:rPr>
        <w:t xml:space="preserve">our recommendation should be an approach to ensure that IDR </w:t>
      </w:r>
      <w:r w:rsidR="00B37C66">
        <w:rPr>
          <w:rFonts w:ascii="Arial" w:eastAsia="Times New Roman" w:hAnsi="Arial" w:cs="Arial"/>
          <w:color w:val="000000"/>
          <w:lang w:eastAsia="en-GB"/>
        </w:rPr>
        <w:t>sat</w:t>
      </w:r>
      <w:r w:rsidR="00B37C66" w:rsidRPr="003445B3">
        <w:rPr>
          <w:rFonts w:ascii="Arial" w:eastAsia="Times New Roman" w:hAnsi="Arial" w:cs="Arial"/>
          <w:color w:val="000000"/>
          <w:lang w:eastAsia="en-GB"/>
        </w:rPr>
        <w:t xml:space="preserve"> </w:t>
      </w:r>
      <w:r w:rsidRPr="003445B3">
        <w:rPr>
          <w:rFonts w:ascii="Arial" w:eastAsia="Times New Roman" w:hAnsi="Arial" w:cs="Arial"/>
          <w:color w:val="000000"/>
          <w:lang w:eastAsia="en-GB"/>
        </w:rPr>
        <w:t>firmly within the mainstream of assessment and would be undertaken within the work of the sub-panels rather than by a separate, specialist panel. In this task, the sub-panels would be supported by the IDR-specific panel appointments.</w:t>
      </w:r>
    </w:p>
    <w:p w14:paraId="3CD8D025" w14:textId="77777777" w:rsidR="00D45E55" w:rsidRPr="003445B3" w:rsidRDefault="00D45E55" w:rsidP="003A3BEE">
      <w:pPr>
        <w:pStyle w:val="ListParagraph"/>
        <w:spacing w:after="0" w:line="300" w:lineRule="atLeast"/>
        <w:ind w:left="0"/>
        <w:rPr>
          <w:rFonts w:ascii="Arial" w:eastAsia="Times New Roman" w:hAnsi="Arial" w:cs="Arial"/>
          <w:color w:val="000000"/>
          <w:lang w:eastAsia="en-GB"/>
        </w:rPr>
      </w:pPr>
    </w:p>
    <w:p w14:paraId="273D0D18" w14:textId="0F587A6E" w:rsidR="00050AEA" w:rsidRPr="00AA1EB0" w:rsidRDefault="00C45D09" w:rsidP="003A3BEE">
      <w:pPr>
        <w:pStyle w:val="ListParagraph"/>
        <w:numPr>
          <w:ilvl w:val="0"/>
          <w:numId w:val="2"/>
        </w:numPr>
        <w:spacing w:after="0" w:line="300" w:lineRule="atLeast"/>
        <w:ind w:left="0" w:firstLine="0"/>
        <w:rPr>
          <w:rFonts w:ascii="Arial" w:eastAsia="Times New Roman" w:hAnsi="Arial" w:cs="Arial"/>
          <w:color w:val="000000"/>
          <w:lang w:eastAsia="en-GB"/>
        </w:rPr>
      </w:pPr>
      <w:r w:rsidRPr="00AA1EB0">
        <w:rPr>
          <w:rFonts w:ascii="Arial" w:eastAsia="Times New Roman" w:hAnsi="Arial" w:cs="Arial"/>
          <w:color w:val="000000"/>
          <w:lang w:eastAsia="en-GB"/>
        </w:rPr>
        <w:t xml:space="preserve">We </w:t>
      </w:r>
      <w:r w:rsidR="00B21DC8" w:rsidRPr="00AA1EB0">
        <w:rPr>
          <w:rFonts w:ascii="Arial" w:eastAsia="Times New Roman" w:hAnsi="Arial" w:cs="Arial"/>
          <w:color w:val="000000"/>
          <w:lang w:eastAsia="en-GB"/>
        </w:rPr>
        <w:t xml:space="preserve">felt that the creation of dedicated IDR roles on the expert panels was essential to provide reassurance to the sector that IDR outputs would be treated equitably. </w:t>
      </w:r>
      <w:r w:rsidR="00050AEA" w:rsidRPr="00AA1EB0">
        <w:rPr>
          <w:rFonts w:ascii="Arial" w:eastAsia="Times New Roman" w:hAnsi="Arial" w:cs="Arial"/>
          <w:color w:val="000000"/>
          <w:lang w:eastAsia="en-GB"/>
        </w:rPr>
        <w:t>In developing our advice</w:t>
      </w:r>
      <w:r w:rsidR="00A64EB1" w:rsidRPr="00AA1EB0">
        <w:rPr>
          <w:rFonts w:ascii="Arial" w:eastAsia="Times New Roman" w:hAnsi="Arial" w:cs="Arial"/>
          <w:lang w:val="en-GB" w:eastAsia="en-GB"/>
        </w:rPr>
        <w:t xml:space="preserve"> for the </w:t>
      </w:r>
      <w:r w:rsidR="00223A5A" w:rsidRPr="00AA1EB0">
        <w:rPr>
          <w:rFonts w:ascii="Arial" w:eastAsia="Times New Roman" w:hAnsi="Arial" w:cs="Arial"/>
          <w:lang w:val="en-GB" w:eastAsia="en-GB"/>
        </w:rPr>
        <w:t>‘</w:t>
      </w:r>
      <w:r w:rsidR="00A64EB1" w:rsidRPr="00AA1EB0">
        <w:rPr>
          <w:rFonts w:ascii="Arial" w:eastAsia="Times New Roman" w:hAnsi="Arial" w:cs="Arial"/>
          <w:lang w:val="en-GB" w:eastAsia="en-GB"/>
        </w:rPr>
        <w:t>Roles and recruitment of the expert panels</w:t>
      </w:r>
      <w:r w:rsidR="00223A5A" w:rsidRPr="00AA1EB0">
        <w:rPr>
          <w:rFonts w:ascii="Arial" w:eastAsia="Times New Roman" w:hAnsi="Arial" w:cs="Arial"/>
          <w:lang w:val="en-GB" w:eastAsia="en-GB"/>
        </w:rPr>
        <w:t>’</w:t>
      </w:r>
      <w:r w:rsidR="00A64EB1" w:rsidRPr="00AA1EB0">
        <w:rPr>
          <w:rFonts w:ascii="Arial" w:eastAsia="Times New Roman" w:hAnsi="Arial" w:cs="Arial"/>
          <w:lang w:val="en-GB" w:eastAsia="en-GB"/>
        </w:rPr>
        <w:t xml:space="preserve"> (REF 2017/03)</w:t>
      </w:r>
      <w:r w:rsidR="00A64EB1" w:rsidRPr="00AA1EB0">
        <w:rPr>
          <w:rFonts w:ascii="Arial" w:hAnsi="Arial" w:cs="Arial"/>
          <w:vertAlign w:val="superscript"/>
          <w:lang w:val="en-GB"/>
        </w:rPr>
        <w:footnoteReference w:id="11"/>
      </w:r>
      <w:r w:rsidR="00920A0B" w:rsidRPr="00AA1EB0">
        <w:rPr>
          <w:rFonts w:ascii="Arial" w:eastAsia="Times New Roman" w:hAnsi="Arial" w:cs="Arial"/>
          <w:lang w:val="en-GB" w:eastAsia="en-GB"/>
        </w:rPr>
        <w:t xml:space="preserve">, </w:t>
      </w:r>
      <w:r w:rsidR="00920A0B" w:rsidRPr="00AA1EB0">
        <w:rPr>
          <w:rFonts w:ascii="Arial" w:eastAsia="Times New Roman" w:hAnsi="Arial" w:cs="Arial"/>
          <w:color w:val="000000"/>
          <w:lang w:eastAsia="en-GB"/>
        </w:rPr>
        <w:t>we</w:t>
      </w:r>
      <w:r w:rsidR="00050AEA" w:rsidRPr="00AA1EB0">
        <w:rPr>
          <w:rFonts w:ascii="Arial" w:eastAsia="Times New Roman" w:hAnsi="Arial" w:cs="Arial"/>
          <w:color w:val="000000"/>
          <w:lang w:eastAsia="en-GB"/>
        </w:rPr>
        <w:t xml:space="preserve"> considered how these roles could contribute to the oversight of IDR assessment; how these roles would be defined and what skills and knowledge would be required; and how to recruit individuals with the required skills through the panel appointment process. </w:t>
      </w:r>
      <w:r w:rsidR="00B37C66">
        <w:rPr>
          <w:rFonts w:ascii="Arial" w:eastAsia="Times New Roman" w:hAnsi="Arial" w:cs="Arial"/>
          <w:color w:val="000000"/>
          <w:lang w:eastAsia="en-GB"/>
        </w:rPr>
        <w:t xml:space="preserve">However we felt that the use of the word ‘champion’ as recommended in the Stern Review, might put too much onus on an individual to speak up for IDR </w:t>
      </w:r>
      <w:r w:rsidR="00B37C66">
        <w:rPr>
          <w:rFonts w:ascii="Arial" w:eastAsia="Times New Roman" w:hAnsi="Arial" w:cs="Arial"/>
          <w:i/>
          <w:color w:val="000000"/>
          <w:lang w:eastAsia="en-GB"/>
        </w:rPr>
        <w:t xml:space="preserve">per se </w:t>
      </w:r>
      <w:r w:rsidR="00B37C66">
        <w:rPr>
          <w:rFonts w:ascii="Arial" w:eastAsia="Times New Roman" w:hAnsi="Arial" w:cs="Arial"/>
          <w:color w:val="000000"/>
          <w:lang w:eastAsia="en-GB"/>
        </w:rPr>
        <w:t xml:space="preserve">rather than judge it within the terms we were proposing. </w:t>
      </w:r>
    </w:p>
    <w:p w14:paraId="6C2C2A5B" w14:textId="77777777" w:rsidR="00050AEA" w:rsidRPr="00AA1EB0" w:rsidRDefault="00050AEA" w:rsidP="003A3BEE">
      <w:pPr>
        <w:pStyle w:val="ListParagraph"/>
        <w:spacing w:after="0" w:line="300" w:lineRule="atLeast"/>
        <w:ind w:left="0"/>
        <w:rPr>
          <w:rFonts w:ascii="Arial" w:eastAsia="Times New Roman" w:hAnsi="Arial" w:cs="Arial"/>
          <w:color w:val="000000"/>
          <w:lang w:eastAsia="en-GB"/>
        </w:rPr>
      </w:pPr>
    </w:p>
    <w:p w14:paraId="7561E0B0" w14:textId="6ACC72C8" w:rsidR="00050AEA" w:rsidRPr="00AA1EB0" w:rsidRDefault="00050AEA" w:rsidP="003A3BEE">
      <w:pPr>
        <w:pStyle w:val="ListParagraph"/>
        <w:numPr>
          <w:ilvl w:val="0"/>
          <w:numId w:val="2"/>
        </w:numPr>
        <w:spacing w:after="0" w:line="300" w:lineRule="atLeast"/>
        <w:ind w:left="0" w:firstLine="0"/>
        <w:rPr>
          <w:rFonts w:ascii="Arial" w:eastAsia="Times New Roman" w:hAnsi="Arial" w:cs="Arial"/>
          <w:lang w:val="en-GB" w:eastAsia="en-GB"/>
        </w:rPr>
      </w:pPr>
      <w:r w:rsidRPr="00AA1EB0">
        <w:rPr>
          <w:rFonts w:ascii="Arial" w:eastAsia="Times New Roman" w:hAnsi="Arial" w:cs="Arial"/>
          <w:lang w:val="en-GB" w:eastAsia="en-GB"/>
        </w:rPr>
        <w:t xml:space="preserve">We considered the proposals and the arguments put forward through </w:t>
      </w:r>
      <w:r w:rsidR="00AD1534" w:rsidRPr="00AA1EB0">
        <w:rPr>
          <w:rFonts w:ascii="Arial" w:eastAsia="Times New Roman" w:hAnsi="Arial" w:cs="Arial"/>
          <w:lang w:val="en-GB" w:eastAsia="en-GB"/>
        </w:rPr>
        <w:t>consultation, concluding</w:t>
      </w:r>
      <w:r w:rsidRPr="00AA1EB0">
        <w:rPr>
          <w:rFonts w:ascii="Arial" w:eastAsia="Times New Roman" w:hAnsi="Arial" w:cs="Arial"/>
          <w:lang w:val="en-GB" w:eastAsia="en-GB"/>
        </w:rPr>
        <w:t xml:space="preserve"> that the proposed role of the IDR ‘</w:t>
      </w:r>
      <w:r w:rsidR="00B21DC8" w:rsidRPr="00AA1EB0">
        <w:rPr>
          <w:rFonts w:ascii="Arial" w:eastAsia="Times New Roman" w:hAnsi="Arial" w:cs="Arial"/>
          <w:lang w:val="en-GB" w:eastAsia="en-GB"/>
        </w:rPr>
        <w:t xml:space="preserve">adviser’ </w:t>
      </w:r>
      <w:r w:rsidRPr="00AA1EB0">
        <w:rPr>
          <w:rFonts w:ascii="Arial" w:eastAsia="Times New Roman" w:hAnsi="Arial" w:cs="Arial"/>
          <w:lang w:val="en-GB" w:eastAsia="en-GB"/>
        </w:rPr>
        <w:t xml:space="preserve">was one which would </w:t>
      </w:r>
      <w:r w:rsidR="00A64EB1" w:rsidRPr="00AA1EB0">
        <w:rPr>
          <w:rFonts w:ascii="Arial" w:eastAsia="Times New Roman" w:hAnsi="Arial" w:cs="Arial"/>
          <w:lang w:val="en-GB" w:eastAsia="en-GB"/>
        </w:rPr>
        <w:t xml:space="preserve">work most valuably </w:t>
      </w:r>
      <w:r w:rsidRPr="00AA1EB0">
        <w:rPr>
          <w:rFonts w:ascii="Arial" w:eastAsia="Times New Roman" w:hAnsi="Arial" w:cs="Arial"/>
          <w:lang w:val="en-GB" w:eastAsia="en-GB"/>
        </w:rPr>
        <w:t>within the sub-panels</w:t>
      </w:r>
      <w:r w:rsidR="00A64EB1" w:rsidRPr="00AA1EB0">
        <w:rPr>
          <w:rFonts w:ascii="Arial" w:eastAsia="Times New Roman" w:hAnsi="Arial" w:cs="Arial"/>
          <w:lang w:val="en-GB" w:eastAsia="en-GB"/>
        </w:rPr>
        <w:t xml:space="preserve"> in order </w:t>
      </w:r>
      <w:r w:rsidRPr="00AA1EB0">
        <w:rPr>
          <w:rFonts w:ascii="Arial" w:eastAsia="Times New Roman" w:hAnsi="Arial" w:cs="Arial"/>
          <w:lang w:val="en-GB" w:eastAsia="en-GB"/>
        </w:rPr>
        <w:t>to embed IDR into their work</w:t>
      </w:r>
      <w:r w:rsidR="00B21DC8" w:rsidRPr="00AA1EB0">
        <w:rPr>
          <w:rFonts w:ascii="Arial" w:eastAsia="Times New Roman" w:hAnsi="Arial" w:cs="Arial"/>
          <w:lang w:val="en-GB" w:eastAsia="en-GB"/>
        </w:rPr>
        <w:t xml:space="preserve">. We agreed that there should be at least two IDR advisers on each sub-panel, who should </w:t>
      </w:r>
      <w:r w:rsidRPr="00AA1EB0">
        <w:rPr>
          <w:rFonts w:ascii="Arial" w:eastAsia="Times New Roman" w:hAnsi="Arial" w:cs="Arial"/>
          <w:lang w:val="en-GB" w:eastAsia="en-GB"/>
        </w:rPr>
        <w:t xml:space="preserve">have an advisory and oversight role within </w:t>
      </w:r>
      <w:r w:rsidR="00B21DC8" w:rsidRPr="00AA1EB0">
        <w:rPr>
          <w:rFonts w:ascii="Arial" w:eastAsia="Times New Roman" w:hAnsi="Arial" w:cs="Arial"/>
          <w:lang w:val="en-GB" w:eastAsia="en-GB"/>
        </w:rPr>
        <w:t xml:space="preserve">their </w:t>
      </w:r>
      <w:r w:rsidRPr="00AA1EB0">
        <w:rPr>
          <w:rFonts w:ascii="Arial" w:eastAsia="Times New Roman" w:hAnsi="Arial" w:cs="Arial"/>
          <w:lang w:val="en-GB" w:eastAsia="en-GB"/>
        </w:rPr>
        <w:t xml:space="preserve">sub-panel. </w:t>
      </w:r>
      <w:r w:rsidR="00B37C66">
        <w:rPr>
          <w:rFonts w:ascii="Arial" w:eastAsia="Times New Roman" w:hAnsi="Arial" w:cs="Arial"/>
          <w:lang w:val="en-GB" w:eastAsia="en-GB"/>
        </w:rPr>
        <w:t xml:space="preserve"> Having at least two </w:t>
      </w:r>
      <w:r w:rsidR="000B08C8">
        <w:rPr>
          <w:rFonts w:ascii="Arial" w:eastAsia="Times New Roman" w:hAnsi="Arial" w:cs="Arial"/>
          <w:lang w:val="en-GB" w:eastAsia="en-GB"/>
        </w:rPr>
        <w:t xml:space="preserve">advisers </w:t>
      </w:r>
      <w:r w:rsidR="00B37C66">
        <w:rPr>
          <w:rFonts w:ascii="Arial" w:eastAsia="Times New Roman" w:hAnsi="Arial" w:cs="Arial"/>
          <w:lang w:val="en-GB" w:eastAsia="en-GB"/>
        </w:rPr>
        <w:t xml:space="preserve">would mean that issues around conflicts of interest were reduced and there would be the added benefit of having an identified </w:t>
      </w:r>
      <w:r w:rsidR="000B08C8">
        <w:rPr>
          <w:rFonts w:ascii="Arial" w:eastAsia="Times New Roman" w:hAnsi="Arial" w:cs="Arial"/>
          <w:lang w:val="en-GB" w:eastAsia="en-GB"/>
        </w:rPr>
        <w:t xml:space="preserve">colleague within the </w:t>
      </w:r>
      <w:r w:rsidR="00B37C66">
        <w:rPr>
          <w:rFonts w:ascii="Arial" w:eastAsia="Times New Roman" w:hAnsi="Arial" w:cs="Arial"/>
          <w:lang w:val="en-GB" w:eastAsia="en-GB"/>
        </w:rPr>
        <w:t>sub-panel with whom to discuss any emerging issues.</w:t>
      </w:r>
    </w:p>
    <w:p w14:paraId="46F5B50D" w14:textId="77777777" w:rsidR="00050AEA" w:rsidRPr="00AA1EB0" w:rsidRDefault="00050AEA" w:rsidP="003A3BEE">
      <w:pPr>
        <w:pStyle w:val="ListParagraph"/>
        <w:spacing w:after="0" w:line="300" w:lineRule="atLeast"/>
        <w:ind w:left="0"/>
        <w:rPr>
          <w:rFonts w:ascii="Arial" w:eastAsia="Times New Roman" w:hAnsi="Arial" w:cs="Arial"/>
          <w:lang w:val="en-GB" w:eastAsia="en-GB"/>
        </w:rPr>
      </w:pPr>
    </w:p>
    <w:p w14:paraId="5B2F89F7" w14:textId="5246BA11" w:rsidR="00050AEA" w:rsidRPr="00AA1EB0" w:rsidRDefault="00050AEA" w:rsidP="003A3BEE">
      <w:pPr>
        <w:pStyle w:val="ListParagraph"/>
        <w:numPr>
          <w:ilvl w:val="0"/>
          <w:numId w:val="2"/>
        </w:numPr>
        <w:spacing w:after="0" w:line="300" w:lineRule="atLeast"/>
        <w:ind w:left="0" w:firstLine="0"/>
        <w:rPr>
          <w:rFonts w:ascii="Arial" w:eastAsia="Times New Roman" w:hAnsi="Arial" w:cs="Arial"/>
          <w:lang w:val="en-GB" w:eastAsia="en-GB"/>
        </w:rPr>
      </w:pPr>
      <w:r w:rsidRPr="00AA1EB0">
        <w:rPr>
          <w:rFonts w:ascii="Arial" w:eastAsia="Times New Roman" w:hAnsi="Arial" w:cs="Arial"/>
          <w:lang w:val="en-GB" w:eastAsia="en-GB"/>
        </w:rPr>
        <w:t xml:space="preserve">We additionally recommended that there should be at least </w:t>
      </w:r>
      <w:r w:rsidR="0040102D" w:rsidRPr="00AA1EB0">
        <w:rPr>
          <w:rFonts w:ascii="Arial" w:eastAsia="Times New Roman" w:hAnsi="Arial" w:cs="Arial"/>
          <w:lang w:val="en-GB" w:eastAsia="en-GB"/>
        </w:rPr>
        <w:t xml:space="preserve">one </w:t>
      </w:r>
      <w:r w:rsidRPr="00AA1EB0">
        <w:rPr>
          <w:rFonts w:ascii="Arial" w:eastAsia="Times New Roman" w:hAnsi="Arial" w:cs="Arial"/>
          <w:lang w:val="en-GB" w:eastAsia="en-GB"/>
        </w:rPr>
        <w:t xml:space="preserve">member </w:t>
      </w:r>
      <w:r w:rsidR="0040102D" w:rsidRPr="00AA1EB0">
        <w:rPr>
          <w:rFonts w:ascii="Arial" w:eastAsia="Times New Roman" w:hAnsi="Arial" w:cs="Arial"/>
          <w:lang w:val="en-GB" w:eastAsia="en-GB"/>
        </w:rPr>
        <w:t xml:space="preserve">on each main panel </w:t>
      </w:r>
      <w:r w:rsidRPr="00AA1EB0">
        <w:rPr>
          <w:rFonts w:ascii="Arial" w:eastAsia="Times New Roman" w:hAnsi="Arial" w:cs="Arial"/>
          <w:lang w:val="en-GB" w:eastAsia="en-GB"/>
        </w:rPr>
        <w:t xml:space="preserve">appointed with relevant knowledge and experience, who would have oversight of IDR across the main panel’s constituent sub-panels. This would ensure that IDR was embedded throughout the structures involved in delivery of the assessment, and support consistency within and across the main panels. </w:t>
      </w:r>
    </w:p>
    <w:p w14:paraId="49CCA531" w14:textId="77777777" w:rsidR="00050AEA" w:rsidRPr="00AA1EB0" w:rsidRDefault="00050AEA" w:rsidP="003A3BEE">
      <w:pPr>
        <w:pStyle w:val="ListParagraph"/>
        <w:spacing w:after="0" w:line="300" w:lineRule="atLeast"/>
        <w:ind w:left="0"/>
        <w:rPr>
          <w:rFonts w:ascii="Arial" w:eastAsia="Times New Roman" w:hAnsi="Arial" w:cs="Arial"/>
          <w:lang w:val="en-GB" w:eastAsia="en-GB"/>
        </w:rPr>
      </w:pPr>
    </w:p>
    <w:p w14:paraId="4AEA282F" w14:textId="2898A3D8" w:rsidR="00050AEA" w:rsidRDefault="00050AEA" w:rsidP="003A3BEE">
      <w:pPr>
        <w:pStyle w:val="ListParagraph"/>
        <w:numPr>
          <w:ilvl w:val="0"/>
          <w:numId w:val="2"/>
        </w:numPr>
        <w:spacing w:after="0" w:line="300" w:lineRule="atLeast"/>
        <w:ind w:left="0" w:firstLine="0"/>
        <w:rPr>
          <w:rFonts w:ascii="Arial" w:eastAsia="Times New Roman" w:hAnsi="Arial" w:cs="Arial"/>
          <w:lang w:val="en-GB" w:eastAsia="en-GB"/>
        </w:rPr>
      </w:pPr>
      <w:r w:rsidRPr="00AA1EB0">
        <w:rPr>
          <w:rFonts w:ascii="Arial" w:eastAsia="Times New Roman" w:hAnsi="Arial" w:cs="Arial"/>
          <w:lang w:val="en-GB" w:eastAsia="en-GB"/>
        </w:rPr>
        <w:t xml:space="preserve">We also recommended that knowledge, understanding or experience of interdisciplinary working should be specifically considered in panel member recruitment more widely. We advised that this </w:t>
      </w:r>
      <w:r w:rsidR="00B21DC8" w:rsidRPr="00AA1EB0">
        <w:rPr>
          <w:rFonts w:ascii="Arial" w:eastAsia="Times New Roman" w:hAnsi="Arial" w:cs="Arial"/>
          <w:lang w:val="en-GB" w:eastAsia="en-GB"/>
        </w:rPr>
        <w:t xml:space="preserve">be </w:t>
      </w:r>
      <w:r w:rsidRPr="00AA1EB0">
        <w:rPr>
          <w:rFonts w:ascii="Arial" w:eastAsia="Times New Roman" w:hAnsi="Arial" w:cs="Arial"/>
          <w:lang w:val="en-GB" w:eastAsia="en-GB"/>
        </w:rPr>
        <w:t xml:space="preserve">included in the </w:t>
      </w:r>
      <w:r w:rsidR="00B37C66">
        <w:rPr>
          <w:rFonts w:ascii="Arial" w:eastAsia="Times New Roman" w:hAnsi="Arial" w:cs="Arial"/>
          <w:lang w:val="en-GB" w:eastAsia="en-GB"/>
        </w:rPr>
        <w:t xml:space="preserve">terms of the </w:t>
      </w:r>
      <w:r w:rsidRPr="00AA1EB0">
        <w:rPr>
          <w:rFonts w:ascii="Arial" w:eastAsia="Times New Roman" w:hAnsi="Arial" w:cs="Arial"/>
          <w:lang w:val="en-GB" w:eastAsia="en-GB"/>
        </w:rPr>
        <w:t xml:space="preserve">recruitment process in order to identify and recruit relevant experience for each main and sub-panels. </w:t>
      </w:r>
    </w:p>
    <w:p w14:paraId="19F754B0" w14:textId="77777777" w:rsidR="00493948" w:rsidRPr="00493948" w:rsidRDefault="00493948" w:rsidP="007B29A2">
      <w:pPr>
        <w:pStyle w:val="ListParagraph"/>
        <w:spacing w:after="0" w:line="300" w:lineRule="atLeast"/>
        <w:rPr>
          <w:rFonts w:ascii="Arial" w:eastAsia="Times New Roman" w:hAnsi="Arial" w:cs="Arial"/>
          <w:lang w:val="en-GB" w:eastAsia="en-GB"/>
        </w:rPr>
      </w:pPr>
    </w:p>
    <w:p w14:paraId="4A4EF446" w14:textId="0EFCD266" w:rsidR="00175770" w:rsidRPr="008A4C66" w:rsidRDefault="00493948" w:rsidP="0034062C">
      <w:pPr>
        <w:pStyle w:val="Heading2"/>
        <w:rPr>
          <w:rFonts w:ascii="Arial" w:eastAsia="Times New Roman" w:hAnsi="Arial" w:cs="Arial"/>
          <w:b/>
          <w:color w:val="000000" w:themeColor="text1"/>
          <w:sz w:val="21"/>
          <w:szCs w:val="21"/>
          <w:lang w:eastAsia="en-GB"/>
        </w:rPr>
      </w:pPr>
      <w:bookmarkStart w:id="16" w:name="_Toc3200578"/>
      <w:r w:rsidRPr="008A4C66">
        <w:rPr>
          <w:rFonts w:ascii="Arial" w:eastAsia="Times New Roman" w:hAnsi="Arial" w:cs="Arial"/>
          <w:b/>
          <w:color w:val="000000" w:themeColor="text1"/>
          <w:sz w:val="21"/>
          <w:szCs w:val="21"/>
          <w:lang w:eastAsia="en-GB"/>
        </w:rPr>
        <w:t>Role of the IDR adviser</w:t>
      </w:r>
      <w:bookmarkEnd w:id="16"/>
    </w:p>
    <w:p w14:paraId="08B06E1D" w14:textId="02D25084" w:rsidR="00BF25E7" w:rsidRPr="00AA1EB0" w:rsidRDefault="00251373" w:rsidP="003A3BEE">
      <w:pPr>
        <w:pStyle w:val="ListParagraph"/>
        <w:numPr>
          <w:ilvl w:val="0"/>
          <w:numId w:val="2"/>
        </w:numPr>
        <w:spacing w:after="0" w:line="300" w:lineRule="atLeast"/>
        <w:ind w:left="0" w:firstLine="0"/>
        <w:rPr>
          <w:rFonts w:ascii="Arial" w:eastAsia="Times New Roman" w:hAnsi="Arial" w:cs="Arial"/>
          <w:lang w:val="en-GB" w:eastAsia="en-GB"/>
        </w:rPr>
      </w:pPr>
      <w:r w:rsidRPr="00AA1EB0">
        <w:rPr>
          <w:rFonts w:ascii="Arial" w:hAnsi="Arial" w:cs="Arial"/>
        </w:rPr>
        <w:t>We considered that t</w:t>
      </w:r>
      <w:r w:rsidR="00BF25E7" w:rsidRPr="00AA1EB0">
        <w:rPr>
          <w:rFonts w:ascii="Arial" w:eastAsia="Times New Roman" w:hAnsi="Arial" w:cs="Arial"/>
          <w:lang w:val="en-GB" w:eastAsia="en-GB"/>
        </w:rPr>
        <w:t xml:space="preserve">he IDR </w:t>
      </w:r>
      <w:r w:rsidR="00B21DC8" w:rsidRPr="00AA1EB0">
        <w:rPr>
          <w:rFonts w:ascii="Arial" w:eastAsia="Times New Roman" w:hAnsi="Arial" w:cs="Arial"/>
          <w:lang w:val="en-GB" w:eastAsia="en-GB"/>
        </w:rPr>
        <w:t xml:space="preserve">advisers </w:t>
      </w:r>
      <w:r w:rsidR="00BF25E7" w:rsidRPr="00AA1EB0">
        <w:rPr>
          <w:rFonts w:ascii="Arial" w:eastAsia="Times New Roman" w:hAnsi="Arial" w:cs="Arial"/>
          <w:lang w:val="en-GB" w:eastAsia="en-GB"/>
        </w:rPr>
        <w:t>should provide specialist advice and guidance on incorporating considerations around IDR within the developing criteria and working methods, and play a key role throughout the assessment phase. The role would therefore extend beyond simply championing IDR, and would</w:t>
      </w:r>
      <w:r w:rsidR="00B37C66">
        <w:rPr>
          <w:rFonts w:ascii="Arial" w:eastAsia="Times New Roman" w:hAnsi="Arial" w:cs="Arial"/>
          <w:lang w:val="en-GB" w:eastAsia="en-GB"/>
        </w:rPr>
        <w:t xml:space="preserve"> need to</w:t>
      </w:r>
      <w:r w:rsidR="00BF25E7" w:rsidRPr="00AA1EB0">
        <w:rPr>
          <w:rFonts w:ascii="Arial" w:eastAsia="Times New Roman" w:hAnsi="Arial" w:cs="Arial"/>
          <w:lang w:val="en-GB" w:eastAsia="en-GB"/>
        </w:rPr>
        <w:t xml:space="preserve"> include advising the panel chair on allocation of assessments, advising on any requirement to cross-refer, and maintaining an overview of IDR assessments being undertaken. </w:t>
      </w:r>
    </w:p>
    <w:p w14:paraId="737D0E4C" w14:textId="77777777" w:rsidR="00BF25E7" w:rsidRPr="00AA1EB0" w:rsidRDefault="00BF25E7" w:rsidP="003A3BEE">
      <w:pPr>
        <w:spacing w:after="0" w:line="300" w:lineRule="atLeast"/>
        <w:contextualSpacing/>
        <w:rPr>
          <w:rFonts w:ascii="Arial" w:eastAsia="Times New Roman" w:hAnsi="Arial" w:cs="Arial"/>
          <w:lang w:eastAsia="en-GB"/>
        </w:rPr>
      </w:pPr>
    </w:p>
    <w:p w14:paraId="1F9A698E" w14:textId="372025CF" w:rsidR="00BF25E7" w:rsidRPr="000B08C8" w:rsidRDefault="00BF25E7" w:rsidP="003A3BEE">
      <w:pPr>
        <w:pStyle w:val="ListParagraph"/>
        <w:numPr>
          <w:ilvl w:val="0"/>
          <w:numId w:val="2"/>
        </w:numPr>
        <w:spacing w:after="0" w:line="300" w:lineRule="atLeast"/>
        <w:ind w:left="0" w:firstLine="0"/>
        <w:rPr>
          <w:rFonts w:ascii="Arial" w:hAnsi="Arial" w:cs="Arial"/>
        </w:rPr>
      </w:pPr>
      <w:r w:rsidRPr="000B08C8">
        <w:rPr>
          <w:rFonts w:ascii="Arial" w:hAnsi="Arial" w:cs="Arial"/>
        </w:rPr>
        <w:t xml:space="preserve">We considered it important that those undertaking this role should also undertake assessment </w:t>
      </w:r>
      <w:r w:rsidR="0072696B" w:rsidRPr="000B08C8">
        <w:rPr>
          <w:rFonts w:ascii="Arial" w:hAnsi="Arial" w:cs="Arial"/>
        </w:rPr>
        <w:t xml:space="preserve">of </w:t>
      </w:r>
      <w:r w:rsidRPr="000B08C8">
        <w:rPr>
          <w:rFonts w:ascii="Arial" w:hAnsi="Arial" w:cs="Arial"/>
        </w:rPr>
        <w:t xml:space="preserve">outputs relevant to their background and knowledge, </w:t>
      </w:r>
      <w:r w:rsidR="0072696B" w:rsidRPr="000B08C8">
        <w:rPr>
          <w:rFonts w:ascii="Arial" w:hAnsi="Arial" w:cs="Arial"/>
        </w:rPr>
        <w:t xml:space="preserve">and </w:t>
      </w:r>
      <w:r w:rsidRPr="000B08C8">
        <w:rPr>
          <w:rFonts w:ascii="Arial" w:hAnsi="Arial" w:cs="Arial"/>
        </w:rPr>
        <w:t xml:space="preserve">they should not be seen to be </w:t>
      </w:r>
      <w:r w:rsidRPr="009C6342">
        <w:rPr>
          <w:rFonts w:ascii="Arial" w:hAnsi="Arial" w:cs="Arial"/>
          <w:u w:val="single"/>
        </w:rPr>
        <w:t>exclusively</w:t>
      </w:r>
      <w:r w:rsidRPr="000B08C8">
        <w:rPr>
          <w:rFonts w:ascii="Arial" w:hAnsi="Arial" w:cs="Arial"/>
        </w:rPr>
        <w:t xml:space="preserve"> responsible for undertaking the assessment of </w:t>
      </w:r>
      <w:r w:rsidRPr="009C6342">
        <w:rPr>
          <w:rFonts w:ascii="Arial" w:hAnsi="Arial" w:cs="Arial"/>
          <w:u w:val="single"/>
        </w:rPr>
        <w:t>all</w:t>
      </w:r>
      <w:r w:rsidRPr="000B08C8">
        <w:rPr>
          <w:rFonts w:ascii="Arial" w:hAnsi="Arial" w:cs="Arial"/>
        </w:rPr>
        <w:t xml:space="preserve"> IDR outputs.</w:t>
      </w:r>
      <w:r w:rsidR="004E45EA" w:rsidRPr="000B08C8">
        <w:rPr>
          <w:rFonts w:ascii="Arial" w:hAnsi="Arial" w:cs="Arial"/>
        </w:rPr>
        <w:t xml:space="preserve"> </w:t>
      </w:r>
      <w:r w:rsidR="00B37C66" w:rsidRPr="000B08C8">
        <w:rPr>
          <w:rFonts w:ascii="Arial" w:hAnsi="Arial" w:cs="Arial"/>
        </w:rPr>
        <w:t xml:space="preserve">It would be expected that some outputs flagged as IDR could appropriately be assessed by sub-panel members not specifically identified as IDR Advisers. </w:t>
      </w:r>
      <w:r w:rsidR="004E45EA" w:rsidRPr="000B08C8">
        <w:rPr>
          <w:rFonts w:ascii="Arial" w:hAnsi="Arial" w:cs="Arial"/>
        </w:rPr>
        <w:t xml:space="preserve">In view of their additional responsibilities, </w:t>
      </w:r>
      <w:r w:rsidR="00DA7BD4" w:rsidRPr="000B08C8">
        <w:rPr>
          <w:rFonts w:ascii="Arial" w:hAnsi="Arial" w:cs="Arial"/>
        </w:rPr>
        <w:t>there would have</w:t>
      </w:r>
      <w:r w:rsidR="004E45EA" w:rsidRPr="000B08C8">
        <w:rPr>
          <w:rFonts w:ascii="Arial" w:hAnsi="Arial" w:cs="Arial"/>
        </w:rPr>
        <w:t xml:space="preserve"> to be an appropriate reduction in the volume of outputs allocated to the IDR advisers for assessment, to ensure a comparable workload with that of other sub-panel members.</w:t>
      </w:r>
      <w:r w:rsidRPr="000B08C8">
        <w:rPr>
          <w:rFonts w:ascii="Arial" w:hAnsi="Arial" w:cs="Arial"/>
        </w:rPr>
        <w:t xml:space="preserve"> In addition, as full panel members they </w:t>
      </w:r>
      <w:r w:rsidR="00DA7BD4" w:rsidRPr="000B08C8">
        <w:rPr>
          <w:rFonts w:ascii="Arial" w:hAnsi="Arial" w:cs="Arial"/>
        </w:rPr>
        <w:t xml:space="preserve">would </w:t>
      </w:r>
      <w:r w:rsidRPr="000B08C8">
        <w:rPr>
          <w:rFonts w:ascii="Arial" w:hAnsi="Arial" w:cs="Arial"/>
        </w:rPr>
        <w:t xml:space="preserve">also be fully involved in the assessment of </w:t>
      </w:r>
      <w:r w:rsidR="00DA7BD4" w:rsidRPr="000B08C8">
        <w:rPr>
          <w:rFonts w:ascii="Arial" w:hAnsi="Arial" w:cs="Arial"/>
        </w:rPr>
        <w:t xml:space="preserve">the </w:t>
      </w:r>
      <w:r w:rsidRPr="000B08C8">
        <w:rPr>
          <w:rFonts w:ascii="Arial" w:hAnsi="Arial" w:cs="Arial"/>
        </w:rPr>
        <w:t xml:space="preserve">impact and environment elements of submissions. This reflected a primary principle for our panel that IDR should not be perceived as having a ‘special’ status, and that its equitable assessment is the responsibility of the </w:t>
      </w:r>
      <w:r w:rsidR="0040102D" w:rsidRPr="000B08C8">
        <w:rPr>
          <w:rFonts w:ascii="Arial" w:hAnsi="Arial" w:cs="Arial"/>
        </w:rPr>
        <w:t xml:space="preserve">whole </w:t>
      </w:r>
      <w:r w:rsidRPr="000B08C8">
        <w:rPr>
          <w:rFonts w:ascii="Arial" w:hAnsi="Arial" w:cs="Arial"/>
        </w:rPr>
        <w:t xml:space="preserve">sub-panel. </w:t>
      </w:r>
    </w:p>
    <w:p w14:paraId="01D02E74" w14:textId="77777777" w:rsidR="00BF25E7" w:rsidRPr="00AA1EB0" w:rsidRDefault="00BF25E7" w:rsidP="003A3BEE">
      <w:pPr>
        <w:pStyle w:val="ListParagraph"/>
        <w:spacing w:after="0" w:line="300" w:lineRule="atLeast"/>
        <w:ind w:left="0"/>
        <w:rPr>
          <w:rFonts w:ascii="Arial" w:eastAsia="Times New Roman" w:hAnsi="Arial" w:cs="Arial"/>
          <w:lang w:val="en-GB" w:eastAsia="en-GB"/>
        </w:rPr>
      </w:pPr>
    </w:p>
    <w:p w14:paraId="2A92BEA8" w14:textId="569B5968" w:rsidR="00BF25E7" w:rsidRPr="00AA1EB0" w:rsidRDefault="00BF25E7" w:rsidP="003A3BEE">
      <w:pPr>
        <w:pStyle w:val="ListParagraph"/>
        <w:numPr>
          <w:ilvl w:val="0"/>
          <w:numId w:val="2"/>
        </w:numPr>
        <w:spacing w:after="0" w:line="300" w:lineRule="atLeast"/>
        <w:ind w:left="0" w:firstLine="0"/>
        <w:rPr>
          <w:rFonts w:ascii="Arial" w:hAnsi="Arial" w:cs="Arial"/>
        </w:rPr>
      </w:pPr>
      <w:r w:rsidRPr="00AA1EB0">
        <w:rPr>
          <w:rFonts w:ascii="Arial" w:eastAsia="Times New Roman" w:hAnsi="Arial" w:cs="Arial"/>
          <w:lang w:val="en-GB" w:eastAsia="en-GB"/>
        </w:rPr>
        <w:t xml:space="preserve"> </w:t>
      </w:r>
      <w:r w:rsidRPr="00AA1EB0">
        <w:rPr>
          <w:rFonts w:ascii="Arial" w:hAnsi="Arial" w:cs="Arial"/>
        </w:rPr>
        <w:t xml:space="preserve">Our further recommendation was that for the criteria setting phase </w:t>
      </w:r>
      <w:r w:rsidR="004E45EA" w:rsidRPr="00AA1EB0">
        <w:rPr>
          <w:rFonts w:ascii="Arial" w:hAnsi="Arial" w:cs="Arial"/>
        </w:rPr>
        <w:t>there should be at least one IDR adviser appointed to each sub-panel</w:t>
      </w:r>
      <w:r w:rsidRPr="00AA1EB0">
        <w:rPr>
          <w:rFonts w:ascii="Arial" w:hAnsi="Arial" w:cs="Arial"/>
        </w:rPr>
        <w:t xml:space="preserve">, to input in the development of the criteria and </w:t>
      </w:r>
      <w:r w:rsidR="004E45EA" w:rsidRPr="00AA1EB0">
        <w:rPr>
          <w:rFonts w:ascii="Arial" w:hAnsi="Arial" w:cs="Arial"/>
        </w:rPr>
        <w:t xml:space="preserve">the </w:t>
      </w:r>
      <w:r w:rsidRPr="00AA1EB0">
        <w:rPr>
          <w:rFonts w:ascii="Arial" w:hAnsi="Arial" w:cs="Arial"/>
        </w:rPr>
        <w:t>supporting structures and network around IDR assessment. However</w:t>
      </w:r>
      <w:r w:rsidR="004E45EA" w:rsidRPr="00AA1EB0">
        <w:rPr>
          <w:rFonts w:ascii="Arial" w:hAnsi="Arial" w:cs="Arial"/>
        </w:rPr>
        <w:t>,</w:t>
      </w:r>
      <w:r w:rsidRPr="00AA1EB0">
        <w:rPr>
          <w:rFonts w:ascii="Arial" w:hAnsi="Arial" w:cs="Arial"/>
        </w:rPr>
        <w:t xml:space="preserve"> during the assessment phase, in order to ensure sufficient capacity and avoid overburdening individual IDR advisers, </w:t>
      </w:r>
      <w:r w:rsidR="0040102D" w:rsidRPr="00AA1EB0">
        <w:rPr>
          <w:rFonts w:ascii="Arial" w:hAnsi="Arial" w:cs="Arial"/>
        </w:rPr>
        <w:t xml:space="preserve">it was decided that </w:t>
      </w:r>
      <w:r w:rsidRPr="00AA1EB0">
        <w:rPr>
          <w:rFonts w:ascii="Arial" w:hAnsi="Arial" w:cs="Arial"/>
        </w:rPr>
        <w:t xml:space="preserve">each sub-panel should appoint a minimum of two IDR advisers. </w:t>
      </w:r>
    </w:p>
    <w:p w14:paraId="5AA8F472" w14:textId="77777777" w:rsidR="00BF25E7" w:rsidRPr="00AA1EB0" w:rsidRDefault="00BF25E7" w:rsidP="003A3BEE">
      <w:pPr>
        <w:spacing w:after="0" w:line="300" w:lineRule="atLeast"/>
        <w:rPr>
          <w:rFonts w:ascii="Arial" w:hAnsi="Arial" w:cs="Arial"/>
        </w:rPr>
      </w:pPr>
    </w:p>
    <w:p w14:paraId="1F9775B7" w14:textId="405C5A2B" w:rsidR="00BF25E7" w:rsidRPr="00AA1EB0" w:rsidRDefault="00BF25E7"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We considered that there would be a need for IDR advisers</w:t>
      </w:r>
      <w:r w:rsidR="004E45EA" w:rsidRPr="00AA1EB0">
        <w:rPr>
          <w:rFonts w:ascii="Arial" w:hAnsi="Arial" w:cs="Arial"/>
        </w:rPr>
        <w:t xml:space="preserve"> to </w:t>
      </w:r>
      <w:r w:rsidR="00CC2ACE">
        <w:rPr>
          <w:rFonts w:ascii="Arial" w:hAnsi="Arial" w:cs="Arial"/>
        </w:rPr>
        <w:t>build</w:t>
      </w:r>
      <w:r w:rsidR="00CC2ACE" w:rsidRPr="00AA1EB0">
        <w:rPr>
          <w:rFonts w:ascii="Arial" w:hAnsi="Arial" w:cs="Arial"/>
        </w:rPr>
        <w:t xml:space="preserve"> </w:t>
      </w:r>
      <w:r w:rsidR="004E45EA" w:rsidRPr="00AA1EB0">
        <w:rPr>
          <w:rFonts w:ascii="Arial" w:hAnsi="Arial" w:cs="Arial"/>
        </w:rPr>
        <w:t>linkages across panels in order to share experience</w:t>
      </w:r>
      <w:r w:rsidR="0068142F" w:rsidRPr="00AA1EB0">
        <w:rPr>
          <w:rFonts w:ascii="Arial" w:hAnsi="Arial" w:cs="Arial"/>
        </w:rPr>
        <w:t>,</w:t>
      </w:r>
      <w:r w:rsidR="004E45EA" w:rsidRPr="00AA1EB0">
        <w:rPr>
          <w:rFonts w:ascii="Arial" w:hAnsi="Arial" w:cs="Arial"/>
        </w:rPr>
        <w:t xml:space="preserve"> practice, support and advice, and where appropriate to agree shared working arrangements</w:t>
      </w:r>
      <w:r w:rsidRPr="00AA1EB0">
        <w:rPr>
          <w:rFonts w:ascii="Arial" w:hAnsi="Arial" w:cs="Arial"/>
        </w:rPr>
        <w:t>, rather than working in isolation</w:t>
      </w:r>
      <w:r w:rsidR="004E45EA" w:rsidRPr="00AA1EB0">
        <w:rPr>
          <w:rFonts w:ascii="Arial" w:hAnsi="Arial" w:cs="Arial"/>
        </w:rPr>
        <w:t>.</w:t>
      </w:r>
      <w:r w:rsidRPr="00AA1EB0">
        <w:rPr>
          <w:rFonts w:ascii="Arial" w:hAnsi="Arial" w:cs="Arial"/>
        </w:rPr>
        <w:t xml:space="preserve"> We therefore also recommended that there should be a mutually-supporting network of IDR advisers within and across main panels, led by the main panel IDR members</w:t>
      </w:r>
      <w:r w:rsidR="0068142F" w:rsidRPr="00AA1EB0">
        <w:rPr>
          <w:rFonts w:ascii="Arial" w:hAnsi="Arial" w:cs="Arial"/>
        </w:rPr>
        <w:t>, to support exchange of knowledge and experience, and to facilitate cross referrals where required</w:t>
      </w:r>
      <w:r w:rsidRPr="00AA1EB0">
        <w:rPr>
          <w:rFonts w:ascii="Arial" w:hAnsi="Arial" w:cs="Arial"/>
        </w:rPr>
        <w:t xml:space="preserve">. </w:t>
      </w:r>
    </w:p>
    <w:p w14:paraId="5ADB03F2" w14:textId="77777777" w:rsidR="00B4505A" w:rsidRPr="00AA1EB0" w:rsidRDefault="00B4505A" w:rsidP="003A3BEE">
      <w:pPr>
        <w:pStyle w:val="ListParagraph"/>
        <w:spacing w:after="0" w:line="300" w:lineRule="atLeast"/>
        <w:ind w:left="0"/>
        <w:rPr>
          <w:rFonts w:ascii="Arial" w:hAnsi="Arial" w:cs="Arial"/>
        </w:rPr>
      </w:pPr>
    </w:p>
    <w:p w14:paraId="3BA43683" w14:textId="6C1EA89C" w:rsidR="00D20AD6" w:rsidRPr="00AA1EB0" w:rsidRDefault="006E4CBE"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 xml:space="preserve">The IDR advisers met as main panel groupings between April and June. </w:t>
      </w:r>
      <w:r w:rsidR="00CB46F9" w:rsidRPr="00AA1EB0">
        <w:rPr>
          <w:rFonts w:ascii="Arial" w:hAnsi="Arial" w:cs="Arial"/>
        </w:rPr>
        <w:t xml:space="preserve">Feedback </w:t>
      </w:r>
      <w:r w:rsidRPr="00AA1EB0">
        <w:rPr>
          <w:rFonts w:ascii="Arial" w:hAnsi="Arial" w:cs="Arial"/>
        </w:rPr>
        <w:t xml:space="preserve">from these groups </w:t>
      </w:r>
      <w:r w:rsidR="008A1C1C" w:rsidRPr="00AA1EB0">
        <w:rPr>
          <w:rFonts w:ascii="Arial" w:hAnsi="Arial" w:cs="Arial"/>
        </w:rPr>
        <w:t xml:space="preserve">highlighted concerns </w:t>
      </w:r>
      <w:r w:rsidR="00251373" w:rsidRPr="00AA1EB0">
        <w:rPr>
          <w:rFonts w:ascii="Arial" w:hAnsi="Arial" w:cs="Arial"/>
        </w:rPr>
        <w:t xml:space="preserve">that, </w:t>
      </w:r>
      <w:r w:rsidR="00CB46F9" w:rsidRPr="00AA1EB0">
        <w:rPr>
          <w:rFonts w:ascii="Arial" w:hAnsi="Arial" w:cs="Arial"/>
        </w:rPr>
        <w:t>without guidance</w:t>
      </w:r>
      <w:r w:rsidR="00251373" w:rsidRPr="00AA1EB0">
        <w:rPr>
          <w:rFonts w:ascii="Arial" w:hAnsi="Arial" w:cs="Arial"/>
        </w:rPr>
        <w:t xml:space="preserve"> and a </w:t>
      </w:r>
      <w:r w:rsidR="00EF78F4" w:rsidRPr="00AA1EB0">
        <w:rPr>
          <w:rFonts w:ascii="Arial" w:hAnsi="Arial" w:cs="Arial"/>
        </w:rPr>
        <w:t xml:space="preserve">coordinated </w:t>
      </w:r>
      <w:r w:rsidR="00251373" w:rsidRPr="00AA1EB0">
        <w:rPr>
          <w:rFonts w:ascii="Arial" w:hAnsi="Arial" w:cs="Arial"/>
        </w:rPr>
        <w:t xml:space="preserve">approach to working within and across main panel structures, </w:t>
      </w:r>
      <w:r w:rsidR="00CB46F9" w:rsidRPr="00AA1EB0">
        <w:rPr>
          <w:rFonts w:ascii="Arial" w:hAnsi="Arial" w:cs="Arial"/>
        </w:rPr>
        <w:t xml:space="preserve">there was a risk that each main panel could develop </w:t>
      </w:r>
      <w:r w:rsidR="00EF78F4" w:rsidRPr="00AA1EB0">
        <w:rPr>
          <w:rFonts w:ascii="Arial" w:hAnsi="Arial" w:cs="Arial"/>
        </w:rPr>
        <w:t xml:space="preserve">differing </w:t>
      </w:r>
      <w:r w:rsidR="00CB46F9" w:rsidRPr="00AA1EB0">
        <w:rPr>
          <w:rFonts w:ascii="Arial" w:hAnsi="Arial" w:cs="Arial"/>
        </w:rPr>
        <w:t>practice</w:t>
      </w:r>
      <w:r w:rsidR="00251373" w:rsidRPr="00AA1EB0">
        <w:rPr>
          <w:rFonts w:ascii="Arial" w:hAnsi="Arial" w:cs="Arial"/>
        </w:rPr>
        <w:t xml:space="preserve">. </w:t>
      </w:r>
      <w:r w:rsidR="00D66036" w:rsidRPr="00AA1EB0">
        <w:rPr>
          <w:rFonts w:ascii="Arial" w:hAnsi="Arial" w:cs="Arial"/>
        </w:rPr>
        <w:t xml:space="preserve">A lack of agreed process could </w:t>
      </w:r>
      <w:r w:rsidR="00251373" w:rsidRPr="00AA1EB0">
        <w:rPr>
          <w:rFonts w:ascii="Arial" w:hAnsi="Arial" w:cs="Arial"/>
        </w:rPr>
        <w:t xml:space="preserve">present a </w:t>
      </w:r>
      <w:r w:rsidR="00CB46F9" w:rsidRPr="00AA1EB0">
        <w:rPr>
          <w:rFonts w:ascii="Arial" w:hAnsi="Arial" w:cs="Arial"/>
        </w:rPr>
        <w:t xml:space="preserve">risk </w:t>
      </w:r>
      <w:r w:rsidR="00251373" w:rsidRPr="00AA1EB0">
        <w:rPr>
          <w:rFonts w:ascii="Arial" w:hAnsi="Arial" w:cs="Arial"/>
        </w:rPr>
        <w:t xml:space="preserve">of </w:t>
      </w:r>
      <w:r w:rsidR="00CB46F9" w:rsidRPr="00AA1EB0">
        <w:rPr>
          <w:rFonts w:ascii="Arial" w:hAnsi="Arial" w:cs="Arial"/>
        </w:rPr>
        <w:t xml:space="preserve">inconsistency </w:t>
      </w:r>
      <w:r w:rsidR="00251373" w:rsidRPr="00AA1EB0">
        <w:rPr>
          <w:rFonts w:ascii="Arial" w:hAnsi="Arial" w:cs="Arial"/>
        </w:rPr>
        <w:t xml:space="preserve">in approach and </w:t>
      </w:r>
      <w:r w:rsidR="00CB46F9" w:rsidRPr="00AA1EB0">
        <w:rPr>
          <w:rFonts w:ascii="Arial" w:hAnsi="Arial" w:cs="Arial"/>
        </w:rPr>
        <w:t>undermin</w:t>
      </w:r>
      <w:r w:rsidR="00251373" w:rsidRPr="00AA1EB0">
        <w:rPr>
          <w:rFonts w:ascii="Arial" w:hAnsi="Arial" w:cs="Arial"/>
        </w:rPr>
        <w:t>e</w:t>
      </w:r>
      <w:r w:rsidR="00CB46F9" w:rsidRPr="00AA1EB0">
        <w:rPr>
          <w:rFonts w:ascii="Arial" w:hAnsi="Arial" w:cs="Arial"/>
        </w:rPr>
        <w:t xml:space="preserve"> </w:t>
      </w:r>
      <w:r w:rsidR="00251373" w:rsidRPr="00AA1EB0">
        <w:rPr>
          <w:rFonts w:ascii="Arial" w:hAnsi="Arial" w:cs="Arial"/>
        </w:rPr>
        <w:t xml:space="preserve">HEI </w:t>
      </w:r>
      <w:r w:rsidR="00CB46F9" w:rsidRPr="00AA1EB0">
        <w:rPr>
          <w:rFonts w:ascii="Arial" w:hAnsi="Arial" w:cs="Arial"/>
        </w:rPr>
        <w:t>confidence in the overall approach to IDR</w:t>
      </w:r>
      <w:r w:rsidR="00251373" w:rsidRPr="00AA1EB0">
        <w:rPr>
          <w:rFonts w:ascii="Arial" w:hAnsi="Arial" w:cs="Arial"/>
        </w:rPr>
        <w:t xml:space="preserve"> assessment</w:t>
      </w:r>
      <w:r w:rsidR="00CB46F9" w:rsidRPr="00AA1EB0">
        <w:rPr>
          <w:rFonts w:ascii="Arial" w:hAnsi="Arial" w:cs="Arial"/>
        </w:rPr>
        <w:t xml:space="preserve">. </w:t>
      </w:r>
      <w:r w:rsidR="00251373" w:rsidRPr="00AA1EB0">
        <w:rPr>
          <w:rFonts w:ascii="Arial" w:hAnsi="Arial" w:cs="Arial"/>
        </w:rPr>
        <w:t>The IDR advisers were clear that they would welcome advice on the</w:t>
      </w:r>
      <w:r w:rsidR="00D66036" w:rsidRPr="00AA1EB0">
        <w:rPr>
          <w:rFonts w:ascii="Arial" w:hAnsi="Arial" w:cs="Arial"/>
        </w:rPr>
        <w:t>ir</w:t>
      </w:r>
      <w:r w:rsidR="00251373" w:rsidRPr="00AA1EB0">
        <w:rPr>
          <w:rFonts w:ascii="Arial" w:hAnsi="Arial" w:cs="Arial"/>
        </w:rPr>
        <w:t xml:space="preserve"> role, </w:t>
      </w:r>
      <w:r w:rsidR="00D66036" w:rsidRPr="00AA1EB0">
        <w:rPr>
          <w:rFonts w:ascii="Arial" w:hAnsi="Arial" w:cs="Arial"/>
        </w:rPr>
        <w:t xml:space="preserve">as well as </w:t>
      </w:r>
      <w:r w:rsidR="00251373" w:rsidRPr="00AA1EB0">
        <w:rPr>
          <w:rFonts w:ascii="Arial" w:hAnsi="Arial" w:cs="Arial"/>
        </w:rPr>
        <w:t xml:space="preserve">a clearer role for the main panel IDR members in focusing and coordinating the work within each main panel group and in leading </w:t>
      </w:r>
      <w:r w:rsidR="00950DA7" w:rsidRPr="00AA1EB0">
        <w:rPr>
          <w:rFonts w:ascii="Arial" w:hAnsi="Arial" w:cs="Arial"/>
        </w:rPr>
        <w:t>cross main panel working.</w:t>
      </w:r>
      <w:r w:rsidR="00D66036" w:rsidRPr="00AA1EB0">
        <w:rPr>
          <w:rFonts w:ascii="Arial" w:hAnsi="Arial" w:cs="Arial"/>
        </w:rPr>
        <w:t xml:space="preserve"> The IDR advisers also called for greater involvement of IDAP in the process in order to promote and support coherence across the main panels.</w:t>
      </w:r>
    </w:p>
    <w:p w14:paraId="25CC1D41" w14:textId="77777777" w:rsidR="00251373" w:rsidRPr="00AA1EB0" w:rsidRDefault="00251373" w:rsidP="003A3BEE">
      <w:pPr>
        <w:pStyle w:val="ListParagraph"/>
        <w:spacing w:after="0" w:line="300" w:lineRule="atLeast"/>
        <w:ind w:left="0"/>
        <w:rPr>
          <w:rFonts w:ascii="Arial" w:hAnsi="Arial" w:cs="Arial"/>
        </w:rPr>
      </w:pPr>
    </w:p>
    <w:p w14:paraId="228AFC0A" w14:textId="31FBF2AC" w:rsidR="007624E2" w:rsidRPr="00AA1EB0" w:rsidRDefault="005C1477" w:rsidP="003A3BEE">
      <w:pPr>
        <w:pStyle w:val="ListParagraph"/>
        <w:numPr>
          <w:ilvl w:val="0"/>
          <w:numId w:val="2"/>
        </w:numPr>
        <w:spacing w:after="0" w:line="300" w:lineRule="atLeast"/>
        <w:ind w:left="0" w:firstLine="0"/>
        <w:rPr>
          <w:rFonts w:ascii="Arial" w:hAnsi="Arial" w:cs="Arial"/>
        </w:rPr>
      </w:pPr>
      <w:r w:rsidRPr="00AA1EB0">
        <w:rPr>
          <w:rFonts w:ascii="Arial" w:hAnsi="Arial" w:cs="Arial"/>
        </w:rPr>
        <w:t>Following on from the IDR advisers’ feedback, w</w:t>
      </w:r>
      <w:r w:rsidR="00950DA7" w:rsidRPr="00AA1EB0">
        <w:rPr>
          <w:rFonts w:ascii="Arial" w:hAnsi="Arial" w:cs="Arial"/>
        </w:rPr>
        <w:t>e further developed our guidance</w:t>
      </w:r>
      <w:r w:rsidRPr="00AA1EB0">
        <w:rPr>
          <w:rFonts w:ascii="Arial" w:hAnsi="Arial" w:cs="Arial"/>
        </w:rPr>
        <w:t xml:space="preserve">. We recommended </w:t>
      </w:r>
      <w:r w:rsidR="00950DA7" w:rsidRPr="00AA1EB0">
        <w:rPr>
          <w:rFonts w:ascii="Arial" w:hAnsi="Arial" w:cs="Arial"/>
        </w:rPr>
        <w:t xml:space="preserve">that </w:t>
      </w:r>
      <w:r w:rsidR="007624E2" w:rsidRPr="00AA1EB0">
        <w:rPr>
          <w:rFonts w:ascii="Arial" w:hAnsi="Arial" w:cs="Arial"/>
        </w:rPr>
        <w:t>the IDR adviser role should encompass</w:t>
      </w:r>
      <w:r w:rsidR="006E4CBE" w:rsidRPr="00AA1EB0">
        <w:rPr>
          <w:rFonts w:ascii="Arial" w:hAnsi="Arial" w:cs="Arial"/>
        </w:rPr>
        <w:t>:</w:t>
      </w:r>
      <w:r w:rsidR="007624E2" w:rsidRPr="00AA1EB0">
        <w:rPr>
          <w:rFonts w:ascii="Arial" w:hAnsi="Arial" w:cs="Arial"/>
        </w:rPr>
        <w:t xml:space="preserve"> </w:t>
      </w:r>
      <w:r w:rsidR="006E4CBE" w:rsidRPr="00AA1EB0">
        <w:rPr>
          <w:rFonts w:ascii="Arial" w:hAnsi="Arial" w:cs="Arial"/>
        </w:rPr>
        <w:t>advice on</w:t>
      </w:r>
      <w:r w:rsidR="007624E2" w:rsidRPr="00AA1EB0">
        <w:rPr>
          <w:rFonts w:ascii="Arial" w:hAnsi="Arial" w:cs="Arial"/>
        </w:rPr>
        <w:t xml:space="preserve"> the process</w:t>
      </w:r>
      <w:r w:rsidR="006E4CBE" w:rsidRPr="00AA1EB0">
        <w:rPr>
          <w:rFonts w:ascii="Arial" w:hAnsi="Arial" w:cs="Arial"/>
        </w:rPr>
        <w:t>es</w:t>
      </w:r>
      <w:r w:rsidR="007624E2" w:rsidRPr="00AA1EB0">
        <w:rPr>
          <w:rFonts w:ascii="Arial" w:hAnsi="Arial" w:cs="Arial"/>
        </w:rPr>
        <w:t xml:space="preserve"> of IDR assessment within their sub-panel, </w:t>
      </w:r>
      <w:r w:rsidR="006E4CBE" w:rsidRPr="00AA1EB0">
        <w:rPr>
          <w:rFonts w:ascii="Arial" w:hAnsi="Arial" w:cs="Arial"/>
        </w:rPr>
        <w:t xml:space="preserve">including </w:t>
      </w:r>
      <w:r w:rsidR="007624E2" w:rsidRPr="00AA1EB0">
        <w:rPr>
          <w:rFonts w:ascii="Arial" w:hAnsi="Arial" w:cs="Arial"/>
        </w:rPr>
        <w:t>advising the chair on allocation of outputs for assessment and whether additional input is required from other sub-panels</w:t>
      </w:r>
      <w:r w:rsidR="006E4CBE" w:rsidRPr="00AA1EB0">
        <w:rPr>
          <w:rFonts w:ascii="Arial" w:hAnsi="Arial" w:cs="Arial"/>
        </w:rPr>
        <w:t>;</w:t>
      </w:r>
      <w:r w:rsidR="007624E2" w:rsidRPr="00AA1EB0">
        <w:rPr>
          <w:rFonts w:ascii="Arial" w:hAnsi="Arial" w:cs="Arial"/>
        </w:rPr>
        <w:t xml:space="preserve"> contribution to and liaison across the IDR network and </w:t>
      </w:r>
      <w:r w:rsidR="00550759" w:rsidRPr="00AA1EB0">
        <w:rPr>
          <w:rFonts w:ascii="Arial" w:hAnsi="Arial" w:cs="Arial"/>
        </w:rPr>
        <w:t xml:space="preserve">engagement </w:t>
      </w:r>
      <w:r w:rsidR="007624E2" w:rsidRPr="00AA1EB0">
        <w:rPr>
          <w:rFonts w:ascii="Arial" w:hAnsi="Arial" w:cs="Arial"/>
        </w:rPr>
        <w:t xml:space="preserve">with main panel IDR </w:t>
      </w:r>
      <w:r w:rsidR="00D64E0A" w:rsidRPr="00AA1EB0">
        <w:rPr>
          <w:rFonts w:ascii="Arial" w:hAnsi="Arial" w:cs="Arial"/>
        </w:rPr>
        <w:t>leads</w:t>
      </w:r>
      <w:r w:rsidR="006E4CBE" w:rsidRPr="00AA1EB0">
        <w:rPr>
          <w:rFonts w:ascii="Arial" w:hAnsi="Arial" w:cs="Arial"/>
        </w:rPr>
        <w:t>;</w:t>
      </w:r>
      <w:r w:rsidR="007624E2" w:rsidRPr="00AA1EB0">
        <w:rPr>
          <w:rFonts w:ascii="Arial" w:hAnsi="Arial" w:cs="Arial"/>
        </w:rPr>
        <w:t xml:space="preserve"> </w:t>
      </w:r>
      <w:r w:rsidR="006E4CBE" w:rsidRPr="00AA1EB0">
        <w:rPr>
          <w:rFonts w:ascii="Arial" w:hAnsi="Arial" w:cs="Arial"/>
        </w:rPr>
        <w:t>to</w:t>
      </w:r>
      <w:r w:rsidR="007624E2" w:rsidRPr="00AA1EB0">
        <w:rPr>
          <w:rFonts w:ascii="Arial" w:hAnsi="Arial" w:cs="Arial"/>
        </w:rPr>
        <w:t xml:space="preserve"> work with other IDR advisers as needed, </w:t>
      </w:r>
      <w:r w:rsidR="00950DA7" w:rsidRPr="00AA1EB0">
        <w:rPr>
          <w:rFonts w:ascii="Arial" w:hAnsi="Arial" w:cs="Arial"/>
        </w:rPr>
        <w:t xml:space="preserve">to </w:t>
      </w:r>
      <w:r w:rsidR="007624E2" w:rsidRPr="00AA1EB0">
        <w:rPr>
          <w:rFonts w:ascii="Arial" w:hAnsi="Arial" w:cs="Arial"/>
        </w:rPr>
        <w:t xml:space="preserve">lead on calibration of IDR </w:t>
      </w:r>
      <w:r w:rsidR="00D64E0A" w:rsidRPr="00AA1EB0">
        <w:rPr>
          <w:rFonts w:ascii="Arial" w:hAnsi="Arial" w:cs="Arial"/>
        </w:rPr>
        <w:t>at</w:t>
      </w:r>
      <w:r w:rsidR="007624E2" w:rsidRPr="00AA1EB0">
        <w:rPr>
          <w:rFonts w:ascii="Arial" w:hAnsi="Arial" w:cs="Arial"/>
        </w:rPr>
        <w:t xml:space="preserve"> sub-panel</w:t>
      </w:r>
      <w:r w:rsidR="00D64E0A" w:rsidRPr="00AA1EB0">
        <w:rPr>
          <w:rFonts w:ascii="Arial" w:hAnsi="Arial" w:cs="Arial"/>
        </w:rPr>
        <w:t xml:space="preserve"> level</w:t>
      </w:r>
      <w:r w:rsidR="007624E2" w:rsidRPr="00AA1EB0">
        <w:rPr>
          <w:rFonts w:ascii="Arial" w:hAnsi="Arial" w:cs="Arial"/>
        </w:rPr>
        <w:t>, and contribute to calibration across sub-panels</w:t>
      </w:r>
      <w:r w:rsidR="006E4CBE" w:rsidRPr="00AA1EB0">
        <w:rPr>
          <w:rFonts w:ascii="Arial" w:hAnsi="Arial" w:cs="Arial"/>
        </w:rPr>
        <w:t>;</w:t>
      </w:r>
      <w:r w:rsidR="007624E2" w:rsidRPr="00AA1EB0">
        <w:rPr>
          <w:rFonts w:ascii="Arial" w:hAnsi="Arial" w:cs="Arial"/>
        </w:rPr>
        <w:t xml:space="preserve"> and</w:t>
      </w:r>
      <w:r w:rsidR="00950DA7" w:rsidRPr="00AA1EB0">
        <w:rPr>
          <w:rFonts w:ascii="Arial" w:hAnsi="Arial" w:cs="Arial"/>
        </w:rPr>
        <w:t xml:space="preserve">, to have involvement </w:t>
      </w:r>
      <w:r w:rsidR="007624E2" w:rsidRPr="00AA1EB0">
        <w:rPr>
          <w:rFonts w:ascii="Arial" w:hAnsi="Arial" w:cs="Arial"/>
        </w:rPr>
        <w:t>in</w:t>
      </w:r>
      <w:r w:rsidR="00D64E0A" w:rsidRPr="00AA1EB0">
        <w:rPr>
          <w:rFonts w:ascii="Arial" w:hAnsi="Arial" w:cs="Arial"/>
        </w:rPr>
        <w:t xml:space="preserve"> the</w:t>
      </w:r>
      <w:r w:rsidR="007624E2" w:rsidRPr="00AA1EB0">
        <w:rPr>
          <w:rFonts w:ascii="Arial" w:hAnsi="Arial" w:cs="Arial"/>
        </w:rPr>
        <w:t xml:space="preserve"> moderation of IDR outputs</w:t>
      </w:r>
      <w:r w:rsidR="00950DA7" w:rsidRPr="00AA1EB0">
        <w:rPr>
          <w:rFonts w:ascii="Arial" w:hAnsi="Arial" w:cs="Arial"/>
        </w:rPr>
        <w:t xml:space="preserve"> within and across sub-panels</w:t>
      </w:r>
      <w:r w:rsidR="007624E2" w:rsidRPr="00AA1EB0">
        <w:rPr>
          <w:rFonts w:ascii="Arial" w:hAnsi="Arial" w:cs="Arial"/>
        </w:rPr>
        <w:t>.</w:t>
      </w:r>
      <w:r w:rsidR="00B8558E" w:rsidRPr="00B8558E">
        <w:rPr>
          <w:rFonts w:ascii="Arial" w:hAnsi="Arial" w:cs="Arial"/>
        </w:rPr>
        <w:t xml:space="preserve"> </w:t>
      </w:r>
      <w:r w:rsidR="00B8558E">
        <w:rPr>
          <w:rFonts w:ascii="Arial" w:hAnsi="Arial" w:cs="Arial"/>
        </w:rPr>
        <w:t xml:space="preserve">In order to support IDR advisers appointed for the assessment phase, IDAP, </w:t>
      </w:r>
      <w:r w:rsidR="00B96FC5">
        <w:rPr>
          <w:rFonts w:ascii="Arial" w:hAnsi="Arial" w:cs="Arial"/>
        </w:rPr>
        <w:t xml:space="preserve">together </w:t>
      </w:r>
      <w:r w:rsidR="00B8558E">
        <w:rPr>
          <w:rFonts w:ascii="Arial" w:hAnsi="Arial" w:cs="Arial"/>
        </w:rPr>
        <w:t>with the</w:t>
      </w:r>
      <w:r w:rsidR="009E08D5">
        <w:rPr>
          <w:rFonts w:ascii="Arial" w:hAnsi="Arial" w:cs="Arial"/>
        </w:rPr>
        <w:t xml:space="preserve"> existing</w:t>
      </w:r>
      <w:r w:rsidR="00B8558E">
        <w:rPr>
          <w:rFonts w:ascii="Arial" w:hAnsi="Arial" w:cs="Arial"/>
        </w:rPr>
        <w:t xml:space="preserve"> IDR network and the REF team, will brief and induct new IDR advisers during the pre-assessment preparations in 2020. </w:t>
      </w:r>
      <w:r w:rsidR="00CC2ACE">
        <w:rPr>
          <w:rFonts w:ascii="Arial" w:hAnsi="Arial" w:cs="Arial"/>
        </w:rPr>
        <w:t>It was felt that IDAP’s involvement with the IDR network could usefully have started earlier, which might have obviated some of the concerns the IDR advisors expressed initially.</w:t>
      </w:r>
    </w:p>
    <w:p w14:paraId="4CE5A517" w14:textId="77777777" w:rsidR="00012E63" w:rsidRPr="00AA1EB0" w:rsidRDefault="00012E63" w:rsidP="007B29A2">
      <w:pPr>
        <w:pStyle w:val="ListParagraph"/>
        <w:spacing w:after="0" w:line="300" w:lineRule="atLeast"/>
        <w:rPr>
          <w:rFonts w:ascii="Arial" w:hAnsi="Arial" w:cs="Arial"/>
          <w:lang w:val="en-GB"/>
        </w:rPr>
      </w:pPr>
    </w:p>
    <w:p w14:paraId="20FB3B53" w14:textId="450CAB2D" w:rsidR="00012E63" w:rsidRPr="008A4C66" w:rsidRDefault="006E4CBE" w:rsidP="0034062C">
      <w:pPr>
        <w:pStyle w:val="Heading2"/>
        <w:rPr>
          <w:rFonts w:ascii="Arial" w:eastAsia="Times New Roman" w:hAnsi="Arial" w:cs="Arial"/>
          <w:b/>
          <w:color w:val="000000" w:themeColor="text1"/>
          <w:sz w:val="21"/>
          <w:szCs w:val="21"/>
          <w:lang w:eastAsia="en-GB"/>
        </w:rPr>
      </w:pPr>
      <w:bookmarkStart w:id="17" w:name="_Toc3200579"/>
      <w:r w:rsidRPr="008A4C66">
        <w:rPr>
          <w:rFonts w:ascii="Arial" w:eastAsia="Times New Roman" w:hAnsi="Arial" w:cs="Arial"/>
          <w:b/>
          <w:color w:val="000000" w:themeColor="text1"/>
          <w:sz w:val="21"/>
          <w:szCs w:val="21"/>
          <w:lang w:eastAsia="en-GB"/>
        </w:rPr>
        <w:t>Advice</w:t>
      </w:r>
      <w:r w:rsidR="00012E63" w:rsidRPr="008A4C66">
        <w:rPr>
          <w:rFonts w:ascii="Arial" w:eastAsia="Times New Roman" w:hAnsi="Arial" w:cs="Arial"/>
          <w:b/>
          <w:color w:val="000000" w:themeColor="text1"/>
          <w:sz w:val="21"/>
          <w:szCs w:val="21"/>
          <w:lang w:eastAsia="en-GB"/>
        </w:rPr>
        <w:t xml:space="preserve"> on </w:t>
      </w:r>
      <w:r w:rsidRPr="008A4C66">
        <w:rPr>
          <w:rFonts w:ascii="Arial" w:eastAsia="Times New Roman" w:hAnsi="Arial" w:cs="Arial"/>
          <w:b/>
          <w:color w:val="000000" w:themeColor="text1"/>
          <w:sz w:val="21"/>
          <w:szCs w:val="21"/>
          <w:lang w:eastAsia="en-GB"/>
        </w:rPr>
        <w:t xml:space="preserve">the assessment </w:t>
      </w:r>
      <w:r w:rsidR="00012E63" w:rsidRPr="008A4C66">
        <w:rPr>
          <w:rFonts w:ascii="Arial" w:eastAsia="Times New Roman" w:hAnsi="Arial" w:cs="Arial"/>
          <w:b/>
          <w:color w:val="000000" w:themeColor="text1"/>
          <w:sz w:val="21"/>
          <w:szCs w:val="21"/>
          <w:lang w:eastAsia="en-GB"/>
        </w:rPr>
        <w:t>criteria</w:t>
      </w:r>
      <w:bookmarkEnd w:id="17"/>
      <w:r w:rsidR="00012E63" w:rsidRPr="008A4C66">
        <w:rPr>
          <w:rFonts w:ascii="Arial" w:eastAsia="Times New Roman" w:hAnsi="Arial" w:cs="Arial"/>
          <w:b/>
          <w:color w:val="000000" w:themeColor="text1"/>
          <w:sz w:val="21"/>
          <w:szCs w:val="21"/>
          <w:lang w:eastAsia="en-GB"/>
        </w:rPr>
        <w:t xml:space="preserve"> </w:t>
      </w:r>
    </w:p>
    <w:p w14:paraId="611F9C11" w14:textId="03418F98" w:rsidR="00012E63" w:rsidRPr="00AA1EB0" w:rsidRDefault="00012E63" w:rsidP="003A3BEE">
      <w:pPr>
        <w:numPr>
          <w:ilvl w:val="0"/>
          <w:numId w:val="2"/>
        </w:numPr>
        <w:spacing w:after="0" w:line="300" w:lineRule="atLeast"/>
        <w:ind w:left="0" w:firstLine="0"/>
        <w:contextualSpacing/>
        <w:rPr>
          <w:rFonts w:ascii="Arial" w:hAnsi="Arial" w:cs="Arial"/>
          <w:color w:val="000000" w:themeColor="text1"/>
        </w:rPr>
      </w:pPr>
      <w:r w:rsidRPr="00AA1EB0">
        <w:rPr>
          <w:rFonts w:ascii="Arial" w:hAnsi="Arial" w:cs="Arial"/>
          <w:color w:val="000000" w:themeColor="text1"/>
        </w:rPr>
        <w:t xml:space="preserve">IDAP members were clear that interdisciplinary research will be assessed against the same criteria of originality, significance and rigour as all other outputs. The interpretations of these criteria are developed by the main panels and set out within the ‘Panel criteria’. During our considerations of how best to support </w:t>
      </w:r>
      <w:r w:rsidR="006E4CBE" w:rsidRPr="00AA1EB0">
        <w:rPr>
          <w:rFonts w:ascii="Arial" w:hAnsi="Arial" w:cs="Arial"/>
          <w:color w:val="000000" w:themeColor="text1"/>
        </w:rPr>
        <w:t xml:space="preserve">the </w:t>
      </w:r>
      <w:r w:rsidRPr="00AA1EB0">
        <w:rPr>
          <w:rFonts w:ascii="Arial" w:hAnsi="Arial" w:cs="Arial"/>
          <w:color w:val="000000" w:themeColor="text1"/>
        </w:rPr>
        <w:t xml:space="preserve">assessment of IDR, </w:t>
      </w:r>
      <w:r w:rsidR="005D12B0" w:rsidRPr="00AA1EB0">
        <w:rPr>
          <w:rFonts w:ascii="Arial" w:hAnsi="Arial" w:cs="Arial"/>
          <w:color w:val="000000" w:themeColor="text1"/>
        </w:rPr>
        <w:t>we</w:t>
      </w:r>
      <w:r w:rsidRPr="00AA1EB0">
        <w:rPr>
          <w:rFonts w:ascii="Arial" w:hAnsi="Arial" w:cs="Arial"/>
          <w:color w:val="000000" w:themeColor="text1"/>
        </w:rPr>
        <w:t xml:space="preserve"> discussed whether there would be a need for further guidance on interpreting these criteria for IDR outputs. </w:t>
      </w:r>
    </w:p>
    <w:p w14:paraId="14B32BDE" w14:textId="77777777" w:rsidR="00012E63" w:rsidRPr="00AA1EB0" w:rsidRDefault="00012E63" w:rsidP="003A3BEE">
      <w:pPr>
        <w:spacing w:after="0" w:line="300" w:lineRule="atLeast"/>
        <w:contextualSpacing/>
        <w:rPr>
          <w:rFonts w:ascii="Arial" w:hAnsi="Arial" w:cs="Arial"/>
          <w:color w:val="000000" w:themeColor="text1"/>
        </w:rPr>
      </w:pPr>
    </w:p>
    <w:p w14:paraId="38A6A882" w14:textId="2099D714" w:rsidR="00012E63" w:rsidRPr="00AA1EB0" w:rsidRDefault="00012E63" w:rsidP="003A3BEE">
      <w:pPr>
        <w:numPr>
          <w:ilvl w:val="0"/>
          <w:numId w:val="2"/>
        </w:numPr>
        <w:spacing w:after="0" w:line="300" w:lineRule="atLeast"/>
        <w:ind w:left="0" w:firstLine="0"/>
        <w:contextualSpacing/>
        <w:rPr>
          <w:rFonts w:ascii="Arial" w:hAnsi="Arial" w:cs="Arial"/>
          <w:color w:val="000000" w:themeColor="text1"/>
        </w:rPr>
      </w:pPr>
      <w:r w:rsidRPr="00AA1EB0">
        <w:rPr>
          <w:rFonts w:ascii="Arial" w:hAnsi="Arial" w:cs="Arial"/>
          <w:color w:val="000000" w:themeColor="text1"/>
        </w:rPr>
        <w:t xml:space="preserve">The group felt that there may be potential challenges in interpreting the generic criteria in an </w:t>
      </w:r>
      <w:r w:rsidR="005D12B0" w:rsidRPr="00AA1EB0">
        <w:rPr>
          <w:rFonts w:ascii="Arial" w:hAnsi="Arial" w:cs="Arial"/>
          <w:color w:val="000000" w:themeColor="text1"/>
        </w:rPr>
        <w:t xml:space="preserve">IDR </w:t>
      </w:r>
      <w:r w:rsidRPr="00AA1EB0">
        <w:rPr>
          <w:rFonts w:ascii="Arial" w:hAnsi="Arial" w:cs="Arial"/>
          <w:color w:val="000000" w:themeColor="text1"/>
        </w:rPr>
        <w:t xml:space="preserve">context and that, although the process will be supported by IDR advisers, further guidance would help both panel members and IDR advisers. </w:t>
      </w:r>
      <w:r w:rsidR="005D12B0" w:rsidRPr="00AA1EB0">
        <w:rPr>
          <w:rFonts w:ascii="Arial" w:hAnsi="Arial" w:cs="Arial"/>
          <w:color w:val="000000" w:themeColor="text1"/>
        </w:rPr>
        <w:t>I</w:t>
      </w:r>
      <w:r w:rsidRPr="00AA1EB0">
        <w:rPr>
          <w:rFonts w:ascii="Arial" w:hAnsi="Arial" w:cs="Arial"/>
          <w:color w:val="000000" w:themeColor="text1"/>
        </w:rPr>
        <w:t xml:space="preserve">n developing this guidance </w:t>
      </w:r>
      <w:r w:rsidR="005D12B0" w:rsidRPr="00AA1EB0">
        <w:rPr>
          <w:rFonts w:ascii="Arial" w:hAnsi="Arial" w:cs="Arial"/>
          <w:color w:val="000000" w:themeColor="text1"/>
        </w:rPr>
        <w:t>we</w:t>
      </w:r>
      <w:r w:rsidRPr="00AA1EB0">
        <w:rPr>
          <w:rFonts w:ascii="Arial" w:hAnsi="Arial" w:cs="Arial"/>
          <w:color w:val="000000" w:themeColor="text1"/>
        </w:rPr>
        <w:t xml:space="preserve"> consider</w:t>
      </w:r>
      <w:r w:rsidR="005D12B0" w:rsidRPr="00AA1EB0">
        <w:rPr>
          <w:rFonts w:ascii="Arial" w:hAnsi="Arial" w:cs="Arial"/>
          <w:color w:val="000000" w:themeColor="text1"/>
        </w:rPr>
        <w:t>ed</w:t>
      </w:r>
      <w:r w:rsidRPr="00AA1EB0">
        <w:rPr>
          <w:rFonts w:ascii="Arial" w:hAnsi="Arial" w:cs="Arial"/>
          <w:color w:val="000000" w:themeColor="text1"/>
        </w:rPr>
        <w:t xml:space="preserve"> and dr</w:t>
      </w:r>
      <w:r w:rsidR="005D12B0" w:rsidRPr="00AA1EB0">
        <w:rPr>
          <w:rFonts w:ascii="Arial" w:hAnsi="Arial" w:cs="Arial"/>
          <w:color w:val="000000" w:themeColor="text1"/>
        </w:rPr>
        <w:t>e</w:t>
      </w:r>
      <w:r w:rsidRPr="00AA1EB0">
        <w:rPr>
          <w:rFonts w:ascii="Arial" w:hAnsi="Arial" w:cs="Arial"/>
          <w:color w:val="000000" w:themeColor="text1"/>
        </w:rPr>
        <w:t xml:space="preserve">w on work undertaken within the academic community, exploring approaches to the assessment of interdisciplinary research. </w:t>
      </w:r>
    </w:p>
    <w:p w14:paraId="6C9B5A4A" w14:textId="77777777" w:rsidR="00012E63" w:rsidRPr="00AA1EB0" w:rsidRDefault="00012E63" w:rsidP="003A3BEE">
      <w:pPr>
        <w:pStyle w:val="ListParagraph"/>
        <w:spacing w:after="0" w:line="300" w:lineRule="atLeast"/>
        <w:ind w:left="0"/>
        <w:rPr>
          <w:rFonts w:ascii="Arial" w:hAnsi="Arial" w:cs="Arial"/>
          <w:color w:val="000000" w:themeColor="text1"/>
        </w:rPr>
      </w:pPr>
    </w:p>
    <w:p w14:paraId="1EE3CBA3" w14:textId="6A575B20" w:rsidR="00734B61" w:rsidRPr="00AA1EB0" w:rsidRDefault="00012E63" w:rsidP="003A3BEE">
      <w:pPr>
        <w:numPr>
          <w:ilvl w:val="0"/>
          <w:numId w:val="2"/>
        </w:numPr>
        <w:spacing w:after="0" w:line="300" w:lineRule="atLeast"/>
        <w:ind w:left="0" w:firstLine="0"/>
        <w:contextualSpacing/>
        <w:rPr>
          <w:rFonts w:ascii="Arial" w:hAnsi="Arial" w:cs="Arial"/>
          <w:color w:val="000000" w:themeColor="text1"/>
        </w:rPr>
      </w:pPr>
      <w:r w:rsidRPr="00AA1EB0">
        <w:rPr>
          <w:rFonts w:ascii="Arial" w:hAnsi="Arial" w:cs="Arial"/>
          <w:color w:val="000000" w:themeColor="text1"/>
        </w:rPr>
        <w:t xml:space="preserve">As </w:t>
      </w:r>
      <w:r w:rsidR="00D20AD6" w:rsidRPr="00AA1EB0">
        <w:rPr>
          <w:rFonts w:ascii="Arial" w:hAnsi="Arial" w:cs="Arial"/>
          <w:color w:val="000000" w:themeColor="text1"/>
        </w:rPr>
        <w:t xml:space="preserve">previously </w:t>
      </w:r>
      <w:r w:rsidRPr="00AA1EB0">
        <w:rPr>
          <w:rFonts w:ascii="Arial" w:hAnsi="Arial" w:cs="Arial"/>
          <w:color w:val="000000" w:themeColor="text1"/>
        </w:rPr>
        <w:t xml:space="preserve">noted, we recognise that there are a plurality of terms and definitions for research spanning disciplinary boundaries, and that many would fall within our definition of IDR. We concluded that our guidance should emphasise that while there is need to demonstrate originality and significance in the research, </w:t>
      </w:r>
      <w:r w:rsidR="003D3E78" w:rsidRPr="00AA1EB0">
        <w:rPr>
          <w:rFonts w:ascii="Arial" w:hAnsi="Arial" w:cs="Arial"/>
          <w:color w:val="000000" w:themeColor="text1"/>
        </w:rPr>
        <w:t xml:space="preserve">it was necessary to address </w:t>
      </w:r>
      <w:r w:rsidR="00734B61" w:rsidRPr="00AA1EB0">
        <w:rPr>
          <w:rFonts w:ascii="Arial" w:hAnsi="Arial" w:cs="Arial"/>
          <w:color w:val="000000" w:themeColor="text1"/>
        </w:rPr>
        <w:t xml:space="preserve">concerns </w:t>
      </w:r>
      <w:r w:rsidR="003D3E78" w:rsidRPr="00AA1EB0">
        <w:rPr>
          <w:rFonts w:ascii="Arial" w:hAnsi="Arial" w:cs="Arial"/>
          <w:color w:val="000000" w:themeColor="text1"/>
        </w:rPr>
        <w:t xml:space="preserve">that </w:t>
      </w:r>
      <w:r w:rsidR="00C663D3" w:rsidRPr="00AA1EB0">
        <w:rPr>
          <w:rFonts w:ascii="Arial" w:hAnsi="Arial" w:cs="Arial"/>
          <w:color w:val="000000" w:themeColor="text1"/>
        </w:rPr>
        <w:t xml:space="preserve">IDR </w:t>
      </w:r>
      <w:r w:rsidR="0040102D" w:rsidRPr="00AA1EB0">
        <w:rPr>
          <w:rFonts w:ascii="Arial" w:hAnsi="Arial" w:cs="Arial"/>
          <w:color w:val="000000" w:themeColor="text1"/>
        </w:rPr>
        <w:t>might be expected</w:t>
      </w:r>
      <w:r w:rsidR="003D3E78" w:rsidRPr="00AA1EB0">
        <w:rPr>
          <w:rFonts w:ascii="Arial" w:hAnsi="Arial" w:cs="Arial"/>
          <w:color w:val="000000" w:themeColor="text1"/>
        </w:rPr>
        <w:t xml:space="preserve"> </w:t>
      </w:r>
      <w:r w:rsidR="00734B61" w:rsidRPr="00AA1EB0">
        <w:rPr>
          <w:rFonts w:ascii="Arial" w:hAnsi="Arial" w:cs="Arial"/>
          <w:color w:val="000000" w:themeColor="text1"/>
        </w:rPr>
        <w:t xml:space="preserve">to demonstrate </w:t>
      </w:r>
      <w:r w:rsidR="00C663D3" w:rsidRPr="00AA1EB0">
        <w:rPr>
          <w:rFonts w:ascii="Arial" w:hAnsi="Arial" w:cs="Arial"/>
          <w:color w:val="000000" w:themeColor="text1"/>
        </w:rPr>
        <w:t xml:space="preserve">significance and originality </w:t>
      </w:r>
      <w:r w:rsidR="00D45E55" w:rsidRPr="00AA1EB0">
        <w:rPr>
          <w:rFonts w:ascii="Arial" w:hAnsi="Arial" w:cs="Arial"/>
          <w:color w:val="000000" w:themeColor="text1"/>
        </w:rPr>
        <w:t>in all</w:t>
      </w:r>
      <w:r w:rsidR="00C663D3" w:rsidRPr="00AA1EB0">
        <w:rPr>
          <w:rFonts w:ascii="Arial" w:hAnsi="Arial" w:cs="Arial"/>
          <w:color w:val="000000" w:themeColor="text1"/>
        </w:rPr>
        <w:t xml:space="preserve"> disciplinary elements, thus creating a higher standard for assessment compared to</w:t>
      </w:r>
      <w:r w:rsidR="00734B61" w:rsidRPr="00AA1EB0">
        <w:rPr>
          <w:rFonts w:ascii="Arial" w:hAnsi="Arial" w:cs="Arial"/>
          <w:color w:val="000000" w:themeColor="text1"/>
        </w:rPr>
        <w:t xml:space="preserve"> mono-disciplinary research</w:t>
      </w:r>
      <w:r w:rsidRPr="00AA1EB0">
        <w:rPr>
          <w:rFonts w:ascii="Arial" w:hAnsi="Arial" w:cs="Arial"/>
          <w:color w:val="000000" w:themeColor="text1"/>
        </w:rPr>
        <w:t xml:space="preserve">. </w:t>
      </w:r>
    </w:p>
    <w:p w14:paraId="2407DE58" w14:textId="77777777" w:rsidR="00734B61" w:rsidRPr="00AA1EB0" w:rsidRDefault="00734B61" w:rsidP="003A3BEE">
      <w:pPr>
        <w:pStyle w:val="ListParagraph"/>
        <w:spacing w:after="0" w:line="300" w:lineRule="atLeast"/>
        <w:ind w:left="0"/>
        <w:rPr>
          <w:rFonts w:ascii="Arial" w:hAnsi="Arial" w:cs="Arial"/>
          <w:color w:val="000000" w:themeColor="text1"/>
        </w:rPr>
      </w:pPr>
    </w:p>
    <w:p w14:paraId="5CE99D4D" w14:textId="003D1C45" w:rsidR="00012E63" w:rsidRPr="00AA1EB0" w:rsidRDefault="00012E63" w:rsidP="003A3BEE">
      <w:pPr>
        <w:numPr>
          <w:ilvl w:val="0"/>
          <w:numId w:val="2"/>
        </w:numPr>
        <w:spacing w:after="0" w:line="300" w:lineRule="atLeast"/>
        <w:ind w:left="0" w:firstLine="0"/>
        <w:contextualSpacing/>
        <w:rPr>
          <w:rFonts w:ascii="Arial" w:hAnsi="Arial" w:cs="Arial"/>
          <w:color w:val="000000" w:themeColor="text1"/>
        </w:rPr>
      </w:pPr>
      <w:r w:rsidRPr="00AA1EB0">
        <w:rPr>
          <w:rFonts w:ascii="Arial" w:hAnsi="Arial" w:cs="Arial"/>
          <w:color w:val="000000" w:themeColor="text1"/>
        </w:rPr>
        <w:t xml:space="preserve">We wanted it to be clear to HEIs and the panels that originality and significance can be shown in </w:t>
      </w:r>
      <w:r w:rsidRPr="00AA1EB0">
        <w:rPr>
          <w:rFonts w:ascii="Arial" w:hAnsi="Arial" w:cs="Arial"/>
          <w:color w:val="000000" w:themeColor="text1"/>
          <w:u w:val="single"/>
        </w:rPr>
        <w:t xml:space="preserve">any </w:t>
      </w:r>
      <w:r w:rsidR="00D20AD6" w:rsidRPr="00AA1EB0">
        <w:rPr>
          <w:rFonts w:ascii="Arial" w:hAnsi="Arial" w:cs="Arial"/>
          <w:color w:val="000000" w:themeColor="text1"/>
          <w:u w:val="single"/>
        </w:rPr>
        <w:t>of</w:t>
      </w:r>
      <w:r w:rsidRPr="00AA1EB0">
        <w:rPr>
          <w:rFonts w:ascii="Arial" w:hAnsi="Arial" w:cs="Arial"/>
          <w:color w:val="000000" w:themeColor="text1"/>
        </w:rPr>
        <w:t xml:space="preserve">, but should not </w:t>
      </w:r>
      <w:r w:rsidR="00D20AD6" w:rsidRPr="00AA1EB0">
        <w:rPr>
          <w:rFonts w:ascii="Arial" w:hAnsi="Arial" w:cs="Arial"/>
          <w:color w:val="000000" w:themeColor="text1"/>
        </w:rPr>
        <w:t xml:space="preserve">be </w:t>
      </w:r>
      <w:r w:rsidRPr="00AA1EB0">
        <w:rPr>
          <w:rFonts w:ascii="Arial" w:hAnsi="Arial" w:cs="Arial"/>
          <w:color w:val="000000" w:themeColor="text1"/>
        </w:rPr>
        <w:t>require</w:t>
      </w:r>
      <w:r w:rsidR="00D20AD6" w:rsidRPr="00AA1EB0">
        <w:rPr>
          <w:rFonts w:ascii="Arial" w:hAnsi="Arial" w:cs="Arial"/>
          <w:color w:val="000000" w:themeColor="text1"/>
        </w:rPr>
        <w:t>d</w:t>
      </w:r>
      <w:r w:rsidRPr="00AA1EB0">
        <w:rPr>
          <w:rFonts w:ascii="Arial" w:hAnsi="Arial" w:cs="Arial"/>
          <w:color w:val="000000" w:themeColor="text1"/>
        </w:rPr>
        <w:t xml:space="preserve"> to be demonstrated </w:t>
      </w:r>
      <w:r w:rsidRPr="00AA1EB0">
        <w:rPr>
          <w:rFonts w:ascii="Arial" w:hAnsi="Arial" w:cs="Arial"/>
          <w:color w:val="000000" w:themeColor="text1"/>
          <w:u w:val="single"/>
        </w:rPr>
        <w:t>for all</w:t>
      </w:r>
      <w:r w:rsidR="00D20AD6" w:rsidRPr="00AA1EB0">
        <w:rPr>
          <w:rFonts w:ascii="Arial" w:hAnsi="Arial" w:cs="Arial"/>
          <w:color w:val="000000" w:themeColor="text1"/>
        </w:rPr>
        <w:t>,</w:t>
      </w:r>
      <w:r w:rsidRPr="00AA1EB0">
        <w:rPr>
          <w:rFonts w:ascii="Arial" w:hAnsi="Arial" w:cs="Arial"/>
          <w:color w:val="000000" w:themeColor="text1"/>
        </w:rPr>
        <w:t xml:space="preserve"> </w:t>
      </w:r>
      <w:r w:rsidR="00D20AD6" w:rsidRPr="00AA1EB0">
        <w:rPr>
          <w:rFonts w:ascii="Arial" w:hAnsi="Arial" w:cs="Arial"/>
          <w:color w:val="000000" w:themeColor="text1"/>
        </w:rPr>
        <w:t xml:space="preserve">disciplinary </w:t>
      </w:r>
      <w:r w:rsidRPr="00AA1EB0">
        <w:rPr>
          <w:rFonts w:ascii="Arial" w:hAnsi="Arial" w:cs="Arial"/>
          <w:color w:val="000000" w:themeColor="text1"/>
        </w:rPr>
        <w:t xml:space="preserve">elements. </w:t>
      </w:r>
      <w:r w:rsidR="00D20AD6" w:rsidRPr="00AA1EB0">
        <w:rPr>
          <w:rFonts w:ascii="Arial" w:hAnsi="Arial" w:cs="Arial"/>
          <w:color w:val="000000" w:themeColor="text1"/>
        </w:rPr>
        <w:t>Wh</w:t>
      </w:r>
      <w:r w:rsidRPr="00AA1EB0">
        <w:rPr>
          <w:rFonts w:ascii="Arial" w:hAnsi="Arial" w:cs="Arial"/>
          <w:color w:val="000000" w:themeColor="text1"/>
        </w:rPr>
        <w:t xml:space="preserve">ile individual disciplinary elements might be considered standard practice in their own fields, originality and significance </w:t>
      </w:r>
      <w:r w:rsidR="00D20AD6" w:rsidRPr="00AA1EB0">
        <w:rPr>
          <w:rFonts w:ascii="Arial" w:hAnsi="Arial" w:cs="Arial"/>
          <w:color w:val="000000" w:themeColor="text1"/>
        </w:rPr>
        <w:t xml:space="preserve">could be </w:t>
      </w:r>
      <w:r w:rsidRPr="00AA1EB0">
        <w:rPr>
          <w:rFonts w:ascii="Arial" w:hAnsi="Arial" w:cs="Arial"/>
          <w:color w:val="000000" w:themeColor="text1"/>
        </w:rPr>
        <w:t xml:space="preserve">achieved </w:t>
      </w:r>
      <w:r w:rsidR="00D20AD6" w:rsidRPr="00AA1EB0">
        <w:rPr>
          <w:rFonts w:ascii="Arial" w:hAnsi="Arial" w:cs="Arial"/>
          <w:color w:val="000000" w:themeColor="text1"/>
        </w:rPr>
        <w:t xml:space="preserve">through </w:t>
      </w:r>
      <w:r w:rsidRPr="00AA1EB0">
        <w:rPr>
          <w:rFonts w:ascii="Arial" w:hAnsi="Arial" w:cs="Arial"/>
          <w:color w:val="000000" w:themeColor="text1"/>
        </w:rPr>
        <w:t xml:space="preserve">the novelty and value of the approach </w:t>
      </w:r>
      <w:r w:rsidR="00D20AD6" w:rsidRPr="00AA1EB0">
        <w:rPr>
          <w:rFonts w:ascii="Arial" w:hAnsi="Arial" w:cs="Arial"/>
          <w:color w:val="000000" w:themeColor="text1"/>
        </w:rPr>
        <w:t xml:space="preserve">to the research </w:t>
      </w:r>
      <w:r w:rsidRPr="00AA1EB0">
        <w:rPr>
          <w:rFonts w:ascii="Arial" w:hAnsi="Arial" w:cs="Arial"/>
          <w:color w:val="000000" w:themeColor="text1"/>
        </w:rPr>
        <w:t>itself</w:t>
      </w:r>
      <w:r w:rsidR="00D20AD6" w:rsidRPr="00AA1EB0">
        <w:rPr>
          <w:rFonts w:ascii="Arial" w:hAnsi="Arial" w:cs="Arial"/>
          <w:color w:val="000000" w:themeColor="text1"/>
        </w:rPr>
        <w:t>,</w:t>
      </w:r>
      <w:r w:rsidRPr="00AA1EB0">
        <w:rPr>
          <w:rFonts w:ascii="Arial" w:hAnsi="Arial" w:cs="Arial"/>
          <w:color w:val="000000" w:themeColor="text1"/>
        </w:rPr>
        <w:t xml:space="preserve"> in bringing together differing approaches in a</w:t>
      </w:r>
      <w:r w:rsidR="00CC2ACE">
        <w:rPr>
          <w:rFonts w:ascii="Arial" w:hAnsi="Arial" w:cs="Arial"/>
          <w:color w:val="000000" w:themeColor="text1"/>
        </w:rPr>
        <w:t>n innovative</w:t>
      </w:r>
      <w:r w:rsidR="00B019FA">
        <w:rPr>
          <w:rFonts w:ascii="Arial" w:hAnsi="Arial" w:cs="Arial"/>
          <w:color w:val="000000" w:themeColor="text1"/>
        </w:rPr>
        <w:t xml:space="preserve"> </w:t>
      </w:r>
      <w:r w:rsidRPr="00AA1EB0">
        <w:rPr>
          <w:rFonts w:ascii="Arial" w:hAnsi="Arial" w:cs="Arial"/>
          <w:color w:val="000000" w:themeColor="text1"/>
        </w:rPr>
        <w:t>way</w:t>
      </w:r>
      <w:r w:rsidR="0040102D" w:rsidRPr="00AA1EB0">
        <w:rPr>
          <w:rFonts w:ascii="Arial" w:hAnsi="Arial" w:cs="Arial"/>
          <w:color w:val="000000" w:themeColor="text1"/>
        </w:rPr>
        <w:t xml:space="preserve"> </w:t>
      </w:r>
      <w:r w:rsidR="00CC2ACE">
        <w:rPr>
          <w:rFonts w:ascii="Arial" w:hAnsi="Arial" w:cs="Arial"/>
          <w:color w:val="000000" w:themeColor="text1"/>
        </w:rPr>
        <w:t>including</w:t>
      </w:r>
      <w:r w:rsidR="00CC2ACE" w:rsidRPr="00AA1EB0">
        <w:rPr>
          <w:rFonts w:ascii="Arial" w:hAnsi="Arial" w:cs="Arial"/>
          <w:color w:val="000000" w:themeColor="text1"/>
        </w:rPr>
        <w:t xml:space="preserve"> </w:t>
      </w:r>
      <w:r w:rsidR="0040102D" w:rsidRPr="00AA1EB0">
        <w:rPr>
          <w:rFonts w:ascii="Arial" w:hAnsi="Arial" w:cs="Arial"/>
          <w:color w:val="000000" w:themeColor="text1"/>
        </w:rPr>
        <w:t>by their integration</w:t>
      </w:r>
      <w:r w:rsidRPr="00AA1EB0">
        <w:rPr>
          <w:rFonts w:ascii="Arial" w:hAnsi="Arial" w:cs="Arial"/>
          <w:color w:val="000000" w:themeColor="text1"/>
        </w:rPr>
        <w:t xml:space="preserve">. </w:t>
      </w:r>
    </w:p>
    <w:p w14:paraId="094469D1" w14:textId="77777777" w:rsidR="00012E63" w:rsidRPr="00AA1EB0" w:rsidRDefault="00012E63" w:rsidP="003A3BEE">
      <w:pPr>
        <w:spacing w:after="0" w:line="300" w:lineRule="atLeast"/>
        <w:contextualSpacing/>
        <w:rPr>
          <w:rFonts w:ascii="Arial" w:hAnsi="Arial" w:cs="Arial"/>
          <w:color w:val="000000" w:themeColor="text1"/>
        </w:rPr>
      </w:pPr>
    </w:p>
    <w:p w14:paraId="0920D7B9" w14:textId="4437A9AE" w:rsidR="006F2EBA" w:rsidRDefault="00012E63" w:rsidP="003A3BEE">
      <w:pPr>
        <w:numPr>
          <w:ilvl w:val="0"/>
          <w:numId w:val="2"/>
        </w:numPr>
        <w:spacing w:after="0" w:line="300" w:lineRule="atLeast"/>
        <w:ind w:left="0" w:firstLine="0"/>
        <w:contextualSpacing/>
        <w:rPr>
          <w:rFonts w:ascii="Arial" w:hAnsi="Arial" w:cs="Arial"/>
          <w:color w:val="000000" w:themeColor="text1"/>
        </w:rPr>
      </w:pPr>
      <w:r w:rsidRPr="00AA1EB0">
        <w:rPr>
          <w:rFonts w:ascii="Arial" w:hAnsi="Arial" w:cs="Arial"/>
          <w:color w:val="000000" w:themeColor="text1"/>
        </w:rPr>
        <w:t xml:space="preserve">We developed our initial </w:t>
      </w:r>
      <w:r w:rsidR="006E4CBE" w:rsidRPr="00AA1EB0">
        <w:rPr>
          <w:rFonts w:ascii="Arial" w:hAnsi="Arial" w:cs="Arial"/>
          <w:color w:val="000000" w:themeColor="text1"/>
        </w:rPr>
        <w:t xml:space="preserve">advice </w:t>
      </w:r>
      <w:r w:rsidR="00CC2ACE">
        <w:rPr>
          <w:rFonts w:ascii="Arial" w:hAnsi="Arial" w:cs="Arial"/>
          <w:color w:val="000000" w:themeColor="text1"/>
        </w:rPr>
        <w:t>specifically considering the</w:t>
      </w:r>
      <w:r w:rsidR="006E4CBE" w:rsidRPr="00AA1EB0">
        <w:rPr>
          <w:rFonts w:ascii="Arial" w:hAnsi="Arial" w:cs="Arial"/>
          <w:color w:val="000000" w:themeColor="text1"/>
        </w:rPr>
        <w:t xml:space="preserve"> assessment </w:t>
      </w:r>
      <w:r w:rsidRPr="00AA1EB0">
        <w:rPr>
          <w:rFonts w:ascii="Arial" w:hAnsi="Arial" w:cs="Arial"/>
          <w:color w:val="000000" w:themeColor="text1"/>
        </w:rPr>
        <w:t xml:space="preserve">criteria </w:t>
      </w:r>
      <w:r w:rsidR="00CC2ACE">
        <w:rPr>
          <w:rFonts w:ascii="Arial" w:hAnsi="Arial" w:cs="Arial"/>
          <w:color w:val="000000" w:themeColor="text1"/>
        </w:rPr>
        <w:t xml:space="preserve">of </w:t>
      </w:r>
      <w:r w:rsidRPr="00AA1EB0">
        <w:rPr>
          <w:rFonts w:ascii="Arial" w:hAnsi="Arial" w:cs="Arial"/>
          <w:color w:val="000000" w:themeColor="text1"/>
        </w:rPr>
        <w:t>originality, significance and rigour. This advice was provided to the panels to consider through the criteria</w:t>
      </w:r>
      <w:r w:rsidR="00557A2F" w:rsidRPr="00AA1EB0">
        <w:rPr>
          <w:rFonts w:ascii="Arial" w:hAnsi="Arial" w:cs="Arial"/>
          <w:color w:val="000000" w:themeColor="text1"/>
        </w:rPr>
        <w:t>-</w:t>
      </w:r>
      <w:r w:rsidRPr="00AA1EB0">
        <w:rPr>
          <w:rFonts w:ascii="Arial" w:hAnsi="Arial" w:cs="Arial"/>
          <w:color w:val="000000" w:themeColor="text1"/>
        </w:rPr>
        <w:t>setting process</w:t>
      </w:r>
      <w:r w:rsidR="006F2EBA">
        <w:rPr>
          <w:rFonts w:ascii="Arial" w:hAnsi="Arial" w:cs="Arial"/>
          <w:color w:val="000000" w:themeColor="text1"/>
        </w:rPr>
        <w:t>, and is set out below:</w:t>
      </w:r>
    </w:p>
    <w:p w14:paraId="490F1104" w14:textId="77777777" w:rsidR="006F2EBA" w:rsidRDefault="006F2EBA" w:rsidP="007B29A2">
      <w:pPr>
        <w:pStyle w:val="ListParagraph"/>
        <w:spacing w:after="0" w:line="300" w:lineRule="atLeast"/>
        <w:rPr>
          <w:rFonts w:ascii="Arial" w:hAnsi="Arial" w:cs="Arial"/>
          <w:color w:val="000000" w:themeColor="text1"/>
        </w:rPr>
      </w:pPr>
    </w:p>
    <w:p w14:paraId="620CA8E8" w14:textId="77777777" w:rsidR="006F2EBA" w:rsidRPr="006F2EBA" w:rsidRDefault="006F2EBA" w:rsidP="003A3BEE">
      <w:pPr>
        <w:pStyle w:val="ListParagraph"/>
        <w:numPr>
          <w:ilvl w:val="1"/>
          <w:numId w:val="2"/>
        </w:numPr>
        <w:spacing w:after="0" w:line="300" w:lineRule="atLeast"/>
        <w:ind w:left="1134" w:hanging="567"/>
        <w:rPr>
          <w:rFonts w:ascii="Arial" w:hAnsi="Arial" w:cs="Arial"/>
          <w:i/>
          <w:color w:val="000000" w:themeColor="text1"/>
        </w:rPr>
      </w:pPr>
      <w:r w:rsidRPr="006F2EBA">
        <w:rPr>
          <w:rFonts w:ascii="Arial" w:hAnsi="Arial" w:cs="Arial"/>
          <w:i/>
          <w:color w:val="000000" w:themeColor="text1"/>
        </w:rPr>
        <w:t>In applying the criteria of originality and significance to assess IDR outputs, the sub-panels will take into account that the criteria do not need to be demonstrated across all of the constituent parts brought together in the work, but may be identified in one or more parts, or in their integration.</w:t>
      </w:r>
    </w:p>
    <w:p w14:paraId="209C3E69" w14:textId="0E68CE79" w:rsidR="00012E63" w:rsidRPr="006F2EBA" w:rsidRDefault="006F2EBA" w:rsidP="003A3BEE">
      <w:pPr>
        <w:pStyle w:val="ListParagraph"/>
        <w:numPr>
          <w:ilvl w:val="1"/>
          <w:numId w:val="2"/>
        </w:numPr>
        <w:spacing w:after="0" w:line="300" w:lineRule="atLeast"/>
        <w:ind w:left="1134" w:hanging="567"/>
        <w:rPr>
          <w:rFonts w:ascii="Arial" w:hAnsi="Arial" w:cs="Arial"/>
          <w:i/>
          <w:color w:val="000000" w:themeColor="text1"/>
        </w:rPr>
      </w:pPr>
      <w:r w:rsidRPr="006F2EBA">
        <w:rPr>
          <w:rFonts w:ascii="Arial" w:hAnsi="Arial" w:cs="Arial"/>
          <w:i/>
          <w:color w:val="000000" w:themeColor="text1"/>
        </w:rPr>
        <w:t>All elements of the research should demonstrate appropriate academic rigour with a clear rationale for their application to the question posed by the research.</w:t>
      </w:r>
    </w:p>
    <w:p w14:paraId="25130090" w14:textId="77777777" w:rsidR="00012E63" w:rsidRPr="000A39B5" w:rsidRDefault="00012E63" w:rsidP="007B29A2">
      <w:pPr>
        <w:spacing w:after="0" w:line="300" w:lineRule="atLeast"/>
        <w:ind w:left="720"/>
        <w:contextualSpacing/>
        <w:rPr>
          <w:rFonts w:ascii="Arial" w:hAnsi="Arial" w:cs="Arial"/>
          <w:color w:val="000000" w:themeColor="text1"/>
        </w:rPr>
      </w:pPr>
    </w:p>
    <w:p w14:paraId="2581CCAA" w14:textId="561825DD" w:rsidR="008C410C" w:rsidRPr="000A39B5" w:rsidRDefault="008C410C" w:rsidP="003A3BEE">
      <w:pPr>
        <w:numPr>
          <w:ilvl w:val="0"/>
          <w:numId w:val="16"/>
        </w:numPr>
        <w:spacing w:after="0" w:line="300" w:lineRule="atLeast"/>
        <w:ind w:left="0" w:firstLine="0"/>
        <w:contextualSpacing/>
        <w:rPr>
          <w:rFonts w:ascii="Arial" w:hAnsi="Arial" w:cs="Arial"/>
          <w:color w:val="000000"/>
        </w:rPr>
      </w:pPr>
      <w:r w:rsidRPr="000A39B5">
        <w:rPr>
          <w:rFonts w:ascii="Arial" w:hAnsi="Arial" w:cs="Arial"/>
          <w:color w:val="000000"/>
        </w:rPr>
        <w:t xml:space="preserve">The panels welcomed the principle of </w:t>
      </w:r>
      <w:r w:rsidR="000A39B5">
        <w:rPr>
          <w:rFonts w:ascii="Arial" w:hAnsi="Arial" w:cs="Arial"/>
          <w:color w:val="000000"/>
        </w:rPr>
        <w:t xml:space="preserve">having </w:t>
      </w:r>
      <w:r w:rsidRPr="000A39B5">
        <w:rPr>
          <w:rFonts w:ascii="Arial" w:hAnsi="Arial" w:cs="Arial"/>
        </w:rPr>
        <w:t>guidance on assessing IDR, but raised some</w:t>
      </w:r>
      <w:r w:rsidRPr="000A39B5">
        <w:rPr>
          <w:rFonts w:ascii="Arial" w:hAnsi="Arial" w:cs="Arial"/>
          <w:color w:val="000000"/>
        </w:rPr>
        <w:t xml:space="preserve"> concerns </w:t>
      </w:r>
      <w:r w:rsidRPr="000A39B5">
        <w:rPr>
          <w:rFonts w:ascii="Arial" w:hAnsi="Arial" w:cs="Arial"/>
        </w:rPr>
        <w:t>about the potential risk of confusion through the provision of additional interpretations for originality, significance and rigour. There was some uncertainty about whether the interpretations would supersede or supplement the existing generic criteria, and reflection on the extent to which additional interpretations may overly single out IDR</w:t>
      </w:r>
      <w:r w:rsidR="006F2EBA">
        <w:rPr>
          <w:rFonts w:ascii="Arial" w:hAnsi="Arial" w:cs="Arial"/>
        </w:rPr>
        <w:t>.</w:t>
      </w:r>
      <w:r w:rsidRPr="000A39B5">
        <w:rPr>
          <w:rFonts w:ascii="Arial" w:hAnsi="Arial" w:cs="Arial"/>
        </w:rPr>
        <w:t xml:space="preserve"> These concerns were underlined by the</w:t>
      </w:r>
      <w:r w:rsidRPr="000A39B5">
        <w:rPr>
          <w:rFonts w:ascii="Arial" w:hAnsi="Arial" w:cs="Arial"/>
          <w:color w:val="000000"/>
        </w:rPr>
        <w:t xml:space="preserve"> main panel chairs</w:t>
      </w:r>
      <w:r w:rsidR="00B019FA">
        <w:rPr>
          <w:rFonts w:ascii="Arial" w:hAnsi="Arial" w:cs="Arial"/>
          <w:color w:val="000000"/>
        </w:rPr>
        <w:t>, who suggested that additional guidance may confuse HEIs and panels</w:t>
      </w:r>
      <w:r w:rsidRPr="000A39B5">
        <w:rPr>
          <w:rFonts w:ascii="Arial" w:hAnsi="Arial" w:cs="Arial"/>
        </w:rPr>
        <w:t>.</w:t>
      </w:r>
    </w:p>
    <w:p w14:paraId="7F954BDA" w14:textId="77777777" w:rsidR="008C410C" w:rsidRPr="000A39B5" w:rsidRDefault="008C410C" w:rsidP="003A3BEE">
      <w:pPr>
        <w:spacing w:after="0" w:line="300" w:lineRule="atLeast"/>
        <w:contextualSpacing/>
        <w:rPr>
          <w:rFonts w:ascii="Arial" w:hAnsi="Arial" w:cs="Arial"/>
          <w:color w:val="000000"/>
        </w:rPr>
      </w:pPr>
    </w:p>
    <w:p w14:paraId="1D8BEFF2" w14:textId="7D5709CC" w:rsidR="008C410C" w:rsidRPr="000A39B5" w:rsidRDefault="00B019FA" w:rsidP="003A3BEE">
      <w:pPr>
        <w:numPr>
          <w:ilvl w:val="0"/>
          <w:numId w:val="16"/>
        </w:numPr>
        <w:spacing w:after="0" w:line="300" w:lineRule="atLeast"/>
        <w:ind w:left="0" w:firstLine="0"/>
        <w:contextualSpacing/>
        <w:rPr>
          <w:rFonts w:ascii="Arial" w:hAnsi="Arial" w:cs="Arial"/>
          <w:color w:val="000000"/>
        </w:rPr>
      </w:pPr>
      <w:r>
        <w:rPr>
          <w:rFonts w:ascii="Arial" w:hAnsi="Arial" w:cs="Arial"/>
          <w:color w:val="000000"/>
        </w:rPr>
        <w:t>T</w:t>
      </w:r>
      <w:r w:rsidR="008C410C" w:rsidRPr="00506EE7">
        <w:rPr>
          <w:rFonts w:ascii="Arial" w:hAnsi="Arial" w:cs="Arial"/>
          <w:color w:val="000000"/>
        </w:rPr>
        <w:t>aking into account the comments of the panels</w:t>
      </w:r>
      <w:r>
        <w:rPr>
          <w:rFonts w:ascii="Arial" w:hAnsi="Arial" w:cs="Arial"/>
          <w:color w:val="000000"/>
        </w:rPr>
        <w:t>, we concluded</w:t>
      </w:r>
      <w:r w:rsidR="008C410C" w:rsidRPr="00506EE7">
        <w:rPr>
          <w:rFonts w:ascii="Arial" w:hAnsi="Arial" w:cs="Arial"/>
          <w:color w:val="000000"/>
        </w:rPr>
        <w:t xml:space="preserve"> that </w:t>
      </w:r>
      <w:r>
        <w:rPr>
          <w:rFonts w:ascii="Arial" w:hAnsi="Arial" w:cs="Arial"/>
          <w:color w:val="000000"/>
        </w:rPr>
        <w:t>there remained a need for additional support for assessment of IDR but that this</w:t>
      </w:r>
      <w:r w:rsidRPr="00506EE7">
        <w:rPr>
          <w:rFonts w:ascii="Arial" w:hAnsi="Arial" w:cs="Arial"/>
          <w:color w:val="000000"/>
        </w:rPr>
        <w:t xml:space="preserve"> </w:t>
      </w:r>
      <w:r w:rsidR="008C410C" w:rsidRPr="00506EE7">
        <w:rPr>
          <w:rFonts w:ascii="Arial" w:hAnsi="Arial" w:cs="Arial"/>
          <w:color w:val="000000"/>
        </w:rPr>
        <w:t xml:space="preserve">should be more clearly presented as supplementary guidance </w:t>
      </w:r>
      <w:r w:rsidR="00CC2ACE">
        <w:rPr>
          <w:rFonts w:ascii="Arial" w:hAnsi="Arial" w:cs="Arial"/>
          <w:color w:val="000000"/>
        </w:rPr>
        <w:t>to</w:t>
      </w:r>
      <w:r w:rsidR="00CC2ACE" w:rsidRPr="00506EE7">
        <w:rPr>
          <w:rFonts w:ascii="Arial" w:hAnsi="Arial" w:cs="Arial"/>
          <w:color w:val="000000"/>
        </w:rPr>
        <w:t xml:space="preserve"> </w:t>
      </w:r>
      <w:r w:rsidR="008C410C" w:rsidRPr="00506EE7">
        <w:rPr>
          <w:rFonts w:ascii="Arial" w:hAnsi="Arial" w:cs="Arial"/>
          <w:color w:val="000000"/>
        </w:rPr>
        <w:t>the main panel criteria</w:t>
      </w:r>
      <w:r w:rsidR="007131F2">
        <w:rPr>
          <w:rFonts w:ascii="Arial" w:hAnsi="Arial" w:cs="Arial"/>
          <w:color w:val="000000"/>
        </w:rPr>
        <w:t>.</w:t>
      </w:r>
    </w:p>
    <w:p w14:paraId="739EA63C" w14:textId="77777777" w:rsidR="00542C31" w:rsidRPr="00506EE7" w:rsidRDefault="00542C31" w:rsidP="003A3BEE">
      <w:pPr>
        <w:spacing w:after="0" w:line="300" w:lineRule="atLeast"/>
        <w:contextualSpacing/>
        <w:rPr>
          <w:rFonts w:ascii="Arial" w:hAnsi="Arial" w:cs="Arial"/>
          <w:color w:val="000000" w:themeColor="text1"/>
          <w:highlight w:val="darkGray"/>
        </w:rPr>
      </w:pPr>
    </w:p>
    <w:p w14:paraId="37AE458C" w14:textId="7044046B" w:rsidR="00012E63" w:rsidRPr="00AF14E8" w:rsidRDefault="00726776" w:rsidP="003A3BEE">
      <w:pPr>
        <w:numPr>
          <w:ilvl w:val="0"/>
          <w:numId w:val="2"/>
        </w:numPr>
        <w:spacing w:after="0" w:line="300" w:lineRule="atLeast"/>
        <w:ind w:left="0" w:firstLine="0"/>
        <w:contextualSpacing/>
        <w:rPr>
          <w:rFonts w:ascii="Arial" w:hAnsi="Arial" w:cs="Arial"/>
          <w:color w:val="000000" w:themeColor="text1"/>
        </w:rPr>
      </w:pPr>
      <w:r w:rsidRPr="00AF14E8">
        <w:rPr>
          <w:rFonts w:ascii="Arial" w:hAnsi="Arial" w:cs="Arial"/>
          <w:color w:val="000000" w:themeColor="text1"/>
        </w:rPr>
        <w:t>O</w:t>
      </w:r>
      <w:r w:rsidR="00012E63" w:rsidRPr="00AF14E8">
        <w:rPr>
          <w:rFonts w:ascii="Arial" w:hAnsi="Arial" w:cs="Arial"/>
          <w:color w:val="000000" w:themeColor="text1"/>
        </w:rPr>
        <w:t>ur guidance on the criteria for assessment are set out in</w:t>
      </w:r>
      <w:r w:rsidR="00B96FC5">
        <w:rPr>
          <w:rFonts w:ascii="Arial" w:hAnsi="Arial" w:cs="Arial"/>
          <w:color w:val="000000" w:themeColor="text1"/>
        </w:rPr>
        <w:t xml:space="preserve"> the</w:t>
      </w:r>
      <w:r w:rsidR="00012E63" w:rsidRPr="00AF14E8">
        <w:rPr>
          <w:rFonts w:ascii="Arial" w:hAnsi="Arial" w:cs="Arial"/>
          <w:color w:val="000000" w:themeColor="text1"/>
        </w:rPr>
        <w:t xml:space="preserve"> </w:t>
      </w:r>
      <w:r w:rsidR="00B96FC5">
        <w:rPr>
          <w:rFonts w:ascii="Arial" w:hAnsi="Arial" w:cs="Arial"/>
          <w:color w:val="000000" w:themeColor="text1"/>
        </w:rPr>
        <w:t>‘</w:t>
      </w:r>
      <w:r w:rsidR="00012E63" w:rsidRPr="00AF14E8">
        <w:rPr>
          <w:rFonts w:ascii="Arial" w:hAnsi="Arial" w:cs="Arial"/>
          <w:color w:val="000000" w:themeColor="text1"/>
        </w:rPr>
        <w:t>Panel criteria</w:t>
      </w:r>
      <w:r w:rsidR="00B96FC5">
        <w:rPr>
          <w:rFonts w:ascii="Arial" w:hAnsi="Arial" w:cs="Arial"/>
          <w:color w:val="000000" w:themeColor="text1"/>
        </w:rPr>
        <w:t>’</w:t>
      </w:r>
      <w:r w:rsidR="00807A3A">
        <w:rPr>
          <w:rStyle w:val="FootnoteReference"/>
          <w:rFonts w:ascii="Arial" w:hAnsi="Arial" w:cs="Arial"/>
          <w:color w:val="000000" w:themeColor="text1"/>
        </w:rPr>
        <w:footnoteReference w:id="12"/>
      </w:r>
      <w:r w:rsidR="00012E63" w:rsidRPr="00AF14E8">
        <w:rPr>
          <w:rFonts w:ascii="Arial" w:hAnsi="Arial" w:cs="Arial"/>
          <w:color w:val="000000" w:themeColor="text1"/>
        </w:rPr>
        <w:t xml:space="preserve">, and </w:t>
      </w:r>
      <w:r w:rsidR="00433A82">
        <w:rPr>
          <w:rFonts w:ascii="Arial" w:hAnsi="Arial" w:cs="Arial"/>
          <w:color w:val="000000" w:themeColor="text1"/>
        </w:rPr>
        <w:t>included</w:t>
      </w:r>
      <w:r w:rsidR="00012E63" w:rsidRPr="00AF14E8">
        <w:rPr>
          <w:rFonts w:ascii="Arial" w:hAnsi="Arial" w:cs="Arial"/>
          <w:color w:val="000000" w:themeColor="text1"/>
        </w:rPr>
        <w:t xml:space="preserve"> below:</w:t>
      </w:r>
    </w:p>
    <w:p w14:paraId="33AECB53" w14:textId="77777777" w:rsidR="00012E63" w:rsidRPr="00AF14E8" w:rsidRDefault="00012E63" w:rsidP="007B29A2">
      <w:pPr>
        <w:spacing w:after="0" w:line="300" w:lineRule="atLeast"/>
        <w:ind w:left="360"/>
        <w:contextualSpacing/>
        <w:rPr>
          <w:rFonts w:ascii="Arial" w:hAnsi="Arial" w:cs="Arial"/>
          <w:color w:val="000000" w:themeColor="text1"/>
        </w:rPr>
      </w:pPr>
    </w:p>
    <w:p w14:paraId="71333B75" w14:textId="7C6A688A" w:rsidR="00935EE0" w:rsidRPr="009974E2" w:rsidRDefault="00935EE0" w:rsidP="007B29A2">
      <w:pPr>
        <w:spacing w:after="0" w:line="300" w:lineRule="atLeast"/>
        <w:ind w:left="567"/>
        <w:rPr>
          <w:rFonts w:ascii="Arial" w:eastAsia="Calibri" w:hAnsi="Arial" w:cs="Arial"/>
          <w:i/>
        </w:rPr>
      </w:pPr>
      <w:bookmarkStart w:id="18" w:name="_Ref519763508"/>
      <w:r w:rsidRPr="009974E2">
        <w:rPr>
          <w:rFonts w:ascii="Arial" w:eastAsia="Calibri" w:hAnsi="Arial" w:cs="Arial"/>
          <w:i/>
        </w:rPr>
        <w:t>Interdisciplinary outputs will be assessed against the generic criteria of originality, significance and rigour. In assessing interdisciplinary outputs, the sub-panels will make use of guidance provided by the Interdisciplinary Research Advisory Panel (IDAP) that originality and significance can be identified in one, some, or all of the constituent parts brought together in the work, or in their integration; they do not need to be demonstrated across all contributing areas/fields. This guidance will work in parallel with – rather than replace – the generic criteria of originality, significance and rigour</w:t>
      </w:r>
      <w:bookmarkEnd w:id="18"/>
      <w:r w:rsidRPr="009974E2">
        <w:rPr>
          <w:rFonts w:ascii="Arial" w:eastAsia="Calibri" w:hAnsi="Arial" w:cs="Arial"/>
          <w:i/>
        </w:rPr>
        <w:t>.</w:t>
      </w:r>
    </w:p>
    <w:p w14:paraId="29A648B9" w14:textId="77777777" w:rsidR="00012E63" w:rsidRPr="00AA1EB0" w:rsidRDefault="00012E63" w:rsidP="007B29A2">
      <w:pPr>
        <w:pStyle w:val="ListParagraph"/>
        <w:spacing w:after="0" w:line="300" w:lineRule="atLeast"/>
        <w:rPr>
          <w:rFonts w:ascii="Arial" w:hAnsi="Arial" w:cs="Arial"/>
          <w:lang w:val="en-GB"/>
        </w:rPr>
      </w:pPr>
    </w:p>
    <w:p w14:paraId="196EA343" w14:textId="2CD1B9ED" w:rsidR="00326998" w:rsidRPr="008A4C66" w:rsidRDefault="00195E8E" w:rsidP="0034062C">
      <w:pPr>
        <w:pStyle w:val="Heading2"/>
        <w:rPr>
          <w:rFonts w:ascii="Arial" w:eastAsia="Times New Roman" w:hAnsi="Arial" w:cs="Arial"/>
          <w:b/>
          <w:color w:val="000000" w:themeColor="text1"/>
          <w:sz w:val="21"/>
          <w:szCs w:val="21"/>
          <w:lang w:eastAsia="en-GB"/>
        </w:rPr>
      </w:pPr>
      <w:bookmarkStart w:id="19" w:name="_Toc3200580"/>
      <w:r w:rsidRPr="008A4C66">
        <w:rPr>
          <w:rFonts w:ascii="Arial" w:eastAsia="Times New Roman" w:hAnsi="Arial" w:cs="Arial"/>
          <w:b/>
          <w:color w:val="000000" w:themeColor="text1"/>
          <w:sz w:val="21"/>
          <w:szCs w:val="21"/>
          <w:lang w:eastAsia="en-GB"/>
        </w:rPr>
        <w:t>IDAP members’ r</w:t>
      </w:r>
      <w:r w:rsidR="00326998" w:rsidRPr="008A4C66">
        <w:rPr>
          <w:rFonts w:ascii="Arial" w:eastAsia="Times New Roman" w:hAnsi="Arial" w:cs="Arial"/>
          <w:b/>
          <w:color w:val="000000" w:themeColor="text1"/>
          <w:sz w:val="21"/>
          <w:szCs w:val="21"/>
          <w:lang w:eastAsia="en-GB"/>
        </w:rPr>
        <w:t>eflections</w:t>
      </w:r>
      <w:r w:rsidRPr="008A4C66">
        <w:rPr>
          <w:rFonts w:ascii="Arial" w:eastAsia="Times New Roman" w:hAnsi="Arial" w:cs="Arial"/>
          <w:b/>
          <w:color w:val="000000" w:themeColor="text1"/>
          <w:sz w:val="21"/>
          <w:szCs w:val="21"/>
          <w:lang w:eastAsia="en-GB"/>
        </w:rPr>
        <w:t>:</w:t>
      </w:r>
      <w:bookmarkEnd w:id="19"/>
      <w:r w:rsidRPr="008A4C66">
        <w:rPr>
          <w:rFonts w:ascii="Arial" w:eastAsia="Times New Roman" w:hAnsi="Arial" w:cs="Arial"/>
          <w:b/>
          <w:color w:val="000000" w:themeColor="text1"/>
          <w:sz w:val="21"/>
          <w:szCs w:val="21"/>
          <w:lang w:eastAsia="en-GB"/>
        </w:rPr>
        <w:t xml:space="preserve"> </w:t>
      </w:r>
    </w:p>
    <w:p w14:paraId="447A0AC5" w14:textId="1FA44BB7" w:rsidR="00D20AD6" w:rsidRPr="00AA1EB0" w:rsidRDefault="00D20AD6" w:rsidP="003A3BEE">
      <w:pPr>
        <w:numPr>
          <w:ilvl w:val="0"/>
          <w:numId w:val="2"/>
        </w:numPr>
        <w:spacing w:after="0" w:line="300" w:lineRule="atLeast"/>
        <w:ind w:left="0" w:firstLine="0"/>
        <w:contextualSpacing/>
        <w:rPr>
          <w:rFonts w:ascii="Arial" w:hAnsi="Arial" w:cs="Arial"/>
          <w:i/>
          <w:color w:val="000000" w:themeColor="text1"/>
        </w:rPr>
      </w:pPr>
      <w:r w:rsidRPr="00AA1EB0">
        <w:rPr>
          <w:rFonts w:ascii="Arial" w:hAnsi="Arial" w:cs="Arial"/>
          <w:color w:val="000000" w:themeColor="text1"/>
        </w:rPr>
        <w:t>The general experience of panel working has been positive</w:t>
      </w:r>
      <w:r w:rsidR="00726776" w:rsidRPr="00AA1EB0">
        <w:rPr>
          <w:rFonts w:ascii="Arial" w:hAnsi="Arial" w:cs="Arial"/>
          <w:color w:val="000000" w:themeColor="text1"/>
        </w:rPr>
        <w:t>,</w:t>
      </w:r>
      <w:r w:rsidR="00CC2ACE">
        <w:rPr>
          <w:rFonts w:ascii="Arial" w:hAnsi="Arial" w:cs="Arial"/>
          <w:color w:val="000000" w:themeColor="text1"/>
        </w:rPr>
        <w:t xml:space="preserve"> with a common ethos which facilitated progress despite panel members’ disparate backgrounds and experience.</w:t>
      </w:r>
      <w:r w:rsidR="00B019FA">
        <w:rPr>
          <w:rFonts w:ascii="Arial" w:hAnsi="Arial" w:cs="Arial"/>
          <w:color w:val="000000" w:themeColor="text1"/>
        </w:rPr>
        <w:t xml:space="preserve"> </w:t>
      </w:r>
      <w:r w:rsidR="00CC2ACE">
        <w:rPr>
          <w:rFonts w:ascii="Arial" w:hAnsi="Arial" w:cs="Arial"/>
          <w:color w:val="000000" w:themeColor="text1"/>
        </w:rPr>
        <w:t>W</w:t>
      </w:r>
      <w:r w:rsidRPr="00AA1EB0">
        <w:rPr>
          <w:rFonts w:ascii="Arial" w:hAnsi="Arial" w:cs="Arial"/>
          <w:color w:val="000000" w:themeColor="text1"/>
        </w:rPr>
        <w:t>e have</w:t>
      </w:r>
      <w:r w:rsidR="00726776" w:rsidRPr="00AA1EB0">
        <w:rPr>
          <w:rFonts w:ascii="Arial" w:hAnsi="Arial" w:cs="Arial"/>
          <w:color w:val="000000" w:themeColor="text1"/>
        </w:rPr>
        <w:t xml:space="preserve"> been able</w:t>
      </w:r>
      <w:r w:rsidR="00D3383B" w:rsidRPr="00AA1EB0">
        <w:rPr>
          <w:rFonts w:ascii="Arial" w:hAnsi="Arial" w:cs="Arial"/>
          <w:color w:val="000000" w:themeColor="text1"/>
        </w:rPr>
        <w:t xml:space="preserve"> collectively</w:t>
      </w:r>
      <w:r w:rsidR="00726776" w:rsidRPr="00AA1EB0">
        <w:rPr>
          <w:rFonts w:ascii="Arial" w:hAnsi="Arial" w:cs="Arial"/>
          <w:color w:val="000000" w:themeColor="text1"/>
        </w:rPr>
        <w:t xml:space="preserve"> to</w:t>
      </w:r>
      <w:r w:rsidRPr="00AA1EB0">
        <w:rPr>
          <w:rFonts w:ascii="Arial" w:hAnsi="Arial" w:cs="Arial"/>
          <w:color w:val="000000" w:themeColor="text1"/>
        </w:rPr>
        <w:t xml:space="preserve"> contribute </w:t>
      </w:r>
      <w:r w:rsidR="00DD36A2" w:rsidRPr="00AA1EB0">
        <w:rPr>
          <w:rFonts w:ascii="Arial" w:hAnsi="Arial" w:cs="Arial"/>
          <w:color w:val="000000" w:themeColor="text1"/>
        </w:rPr>
        <w:t xml:space="preserve">to </w:t>
      </w:r>
      <w:r w:rsidRPr="00AA1EB0">
        <w:rPr>
          <w:rFonts w:ascii="Arial" w:hAnsi="Arial" w:cs="Arial"/>
          <w:color w:val="000000" w:themeColor="text1"/>
        </w:rPr>
        <w:t xml:space="preserve">and work towards agreement of advice and guidance </w:t>
      </w:r>
      <w:r w:rsidR="00D3383B" w:rsidRPr="00AA1EB0">
        <w:rPr>
          <w:rFonts w:ascii="Arial" w:hAnsi="Arial" w:cs="Arial"/>
          <w:color w:val="000000" w:themeColor="text1"/>
        </w:rPr>
        <w:t xml:space="preserve">to </w:t>
      </w:r>
      <w:r w:rsidRPr="00AA1EB0">
        <w:rPr>
          <w:rFonts w:ascii="Arial" w:hAnsi="Arial" w:cs="Arial"/>
          <w:color w:val="000000" w:themeColor="text1"/>
        </w:rPr>
        <w:t>strengthen the approach to assessment of IDR in REF 2021. A key aim</w:t>
      </w:r>
      <w:r w:rsidR="00CC2ACE">
        <w:rPr>
          <w:rFonts w:ascii="Arial" w:hAnsi="Arial" w:cs="Arial"/>
          <w:color w:val="000000" w:themeColor="text1"/>
        </w:rPr>
        <w:t xml:space="preserve"> throughout </w:t>
      </w:r>
      <w:r w:rsidRPr="00AA1EB0">
        <w:rPr>
          <w:rFonts w:ascii="Arial" w:hAnsi="Arial" w:cs="Arial"/>
          <w:color w:val="000000" w:themeColor="text1"/>
        </w:rPr>
        <w:t xml:space="preserve"> has been </w:t>
      </w:r>
      <w:r w:rsidR="00D3383B" w:rsidRPr="00AA1EB0">
        <w:rPr>
          <w:rFonts w:ascii="Arial" w:hAnsi="Arial" w:cs="Arial"/>
          <w:color w:val="000000" w:themeColor="text1"/>
        </w:rPr>
        <w:t xml:space="preserve">to </w:t>
      </w:r>
      <w:r w:rsidRPr="00AA1EB0">
        <w:rPr>
          <w:rFonts w:ascii="Arial" w:hAnsi="Arial" w:cs="Arial"/>
          <w:color w:val="000000" w:themeColor="text1"/>
        </w:rPr>
        <w:t xml:space="preserve">recommend an approach </w:t>
      </w:r>
      <w:r w:rsidR="00D3383B" w:rsidRPr="00AA1EB0">
        <w:rPr>
          <w:rFonts w:ascii="Arial" w:hAnsi="Arial" w:cs="Arial"/>
          <w:color w:val="000000" w:themeColor="text1"/>
        </w:rPr>
        <w:t xml:space="preserve">that </w:t>
      </w:r>
      <w:r w:rsidRPr="00AA1EB0">
        <w:rPr>
          <w:rFonts w:ascii="Arial" w:hAnsi="Arial" w:cs="Arial"/>
          <w:color w:val="000000" w:themeColor="text1"/>
        </w:rPr>
        <w:t xml:space="preserve">will give confidence to HEIs, and to the assessment panels themselves, that IDR will be treated equally in assessment. </w:t>
      </w:r>
    </w:p>
    <w:p w14:paraId="14C88136" w14:textId="77777777" w:rsidR="00225E62" w:rsidRPr="00AA1EB0" w:rsidRDefault="00225E62" w:rsidP="003A3BEE">
      <w:pPr>
        <w:spacing w:after="0" w:line="300" w:lineRule="atLeast"/>
        <w:contextualSpacing/>
        <w:rPr>
          <w:rFonts w:ascii="Arial" w:hAnsi="Arial" w:cs="Arial"/>
          <w:i/>
          <w:color w:val="000000" w:themeColor="text1"/>
        </w:rPr>
      </w:pPr>
    </w:p>
    <w:p w14:paraId="3EFD418D" w14:textId="61900D18" w:rsidR="00225E62" w:rsidRPr="00AA1EB0" w:rsidRDefault="00225E62" w:rsidP="003A3BEE">
      <w:pPr>
        <w:numPr>
          <w:ilvl w:val="0"/>
          <w:numId w:val="2"/>
        </w:numPr>
        <w:spacing w:after="0" w:line="300" w:lineRule="atLeast"/>
        <w:ind w:left="0" w:firstLine="0"/>
        <w:contextualSpacing/>
        <w:rPr>
          <w:rFonts w:ascii="Arial" w:hAnsi="Arial" w:cs="Arial"/>
          <w:i/>
          <w:color w:val="000000" w:themeColor="text1"/>
        </w:rPr>
      </w:pPr>
      <w:r w:rsidRPr="00AA1EB0">
        <w:rPr>
          <w:rFonts w:ascii="Arial" w:hAnsi="Arial" w:cs="Arial"/>
          <w:color w:val="000000" w:themeColor="text1"/>
        </w:rPr>
        <w:t>As noted, we believe that IDAP’s work should have begun earlier in the policy development process, ahead of the announcement of the ‘initial decisions’ in September 2017. We are also of the opinion that greater</w:t>
      </w:r>
      <w:r w:rsidR="00CC2ACE">
        <w:rPr>
          <w:rFonts w:ascii="Arial" w:hAnsi="Arial" w:cs="Arial"/>
          <w:color w:val="000000" w:themeColor="text1"/>
        </w:rPr>
        <w:t xml:space="preserve"> and earlier</w:t>
      </w:r>
      <w:r w:rsidRPr="00AA1EB0">
        <w:rPr>
          <w:rFonts w:ascii="Arial" w:hAnsi="Arial" w:cs="Arial"/>
          <w:color w:val="000000" w:themeColor="text1"/>
        </w:rPr>
        <w:t xml:space="preserve"> interaction between IDAP and the panels, in particular the IDR advisers and main panel leads, would have been productive and would have enabled a more integrated approach to developing the guidance, criteria and working methods.</w:t>
      </w:r>
    </w:p>
    <w:p w14:paraId="16DA43F0" w14:textId="77777777" w:rsidR="00D20AD6" w:rsidRPr="00AA1EB0" w:rsidRDefault="00D20AD6" w:rsidP="003A3BEE">
      <w:pPr>
        <w:spacing w:after="0" w:line="300" w:lineRule="atLeast"/>
        <w:contextualSpacing/>
        <w:rPr>
          <w:rFonts w:ascii="Arial" w:hAnsi="Arial" w:cs="Arial"/>
          <w:i/>
          <w:color w:val="000000" w:themeColor="text1"/>
        </w:rPr>
      </w:pPr>
    </w:p>
    <w:p w14:paraId="6E4A02C7" w14:textId="7CF97F52" w:rsidR="00D25469" w:rsidRDefault="00D20AD6" w:rsidP="003A3BEE">
      <w:pPr>
        <w:numPr>
          <w:ilvl w:val="0"/>
          <w:numId w:val="2"/>
        </w:numPr>
        <w:spacing w:after="0" w:line="300" w:lineRule="atLeast"/>
        <w:ind w:left="0" w:firstLine="0"/>
        <w:contextualSpacing/>
        <w:rPr>
          <w:rFonts w:ascii="Arial" w:hAnsi="Arial" w:cs="Arial"/>
          <w:color w:val="000000" w:themeColor="text1"/>
        </w:rPr>
      </w:pPr>
      <w:r w:rsidRPr="00AA1EB0">
        <w:rPr>
          <w:rFonts w:ascii="Arial" w:hAnsi="Arial" w:cs="Arial"/>
          <w:color w:val="000000" w:themeColor="text1"/>
        </w:rPr>
        <w:t>The</w:t>
      </w:r>
      <w:r w:rsidR="005F225A" w:rsidRPr="00AA1EB0">
        <w:rPr>
          <w:rFonts w:ascii="Arial" w:hAnsi="Arial" w:cs="Arial"/>
          <w:color w:val="000000" w:themeColor="text1"/>
        </w:rPr>
        <w:t xml:space="preserve"> first two</w:t>
      </w:r>
      <w:r w:rsidRPr="00AA1EB0">
        <w:rPr>
          <w:rFonts w:ascii="Arial" w:hAnsi="Arial" w:cs="Arial"/>
          <w:color w:val="000000" w:themeColor="text1"/>
        </w:rPr>
        <w:t xml:space="preserve"> IDR adviser m</w:t>
      </w:r>
      <w:r w:rsidR="001406FF" w:rsidRPr="00AA1EB0">
        <w:rPr>
          <w:rFonts w:ascii="Arial" w:hAnsi="Arial" w:cs="Arial"/>
          <w:color w:val="000000" w:themeColor="text1"/>
        </w:rPr>
        <w:t>eetings</w:t>
      </w:r>
      <w:r w:rsidR="00D3383B" w:rsidRPr="00AA1EB0">
        <w:rPr>
          <w:rFonts w:ascii="Arial" w:hAnsi="Arial" w:cs="Arial"/>
          <w:color w:val="000000" w:themeColor="text1"/>
        </w:rPr>
        <w:t xml:space="preserve"> </w:t>
      </w:r>
      <w:r w:rsidR="001406FF" w:rsidRPr="00AA1EB0">
        <w:rPr>
          <w:rFonts w:ascii="Arial" w:hAnsi="Arial" w:cs="Arial"/>
          <w:color w:val="000000" w:themeColor="text1"/>
        </w:rPr>
        <w:t xml:space="preserve">were </w:t>
      </w:r>
      <w:r w:rsidRPr="00AA1EB0">
        <w:rPr>
          <w:rFonts w:ascii="Arial" w:hAnsi="Arial" w:cs="Arial"/>
          <w:color w:val="000000" w:themeColor="text1"/>
        </w:rPr>
        <w:t xml:space="preserve">held </w:t>
      </w:r>
      <w:r w:rsidR="001406FF" w:rsidRPr="00AA1EB0">
        <w:rPr>
          <w:rFonts w:ascii="Arial" w:hAnsi="Arial" w:cs="Arial"/>
          <w:color w:val="000000" w:themeColor="text1"/>
        </w:rPr>
        <w:t>following the</w:t>
      </w:r>
      <w:r w:rsidR="005F225A" w:rsidRPr="00AA1EB0">
        <w:rPr>
          <w:rFonts w:ascii="Arial" w:hAnsi="Arial" w:cs="Arial"/>
          <w:color w:val="000000" w:themeColor="text1"/>
        </w:rPr>
        <w:t xml:space="preserve"> relevant</w:t>
      </w:r>
      <w:r w:rsidR="001406FF" w:rsidRPr="00AA1EB0">
        <w:rPr>
          <w:rFonts w:ascii="Arial" w:hAnsi="Arial" w:cs="Arial"/>
          <w:color w:val="000000" w:themeColor="text1"/>
        </w:rPr>
        <w:t xml:space="preserve"> sub-panel meetings</w:t>
      </w:r>
      <w:r w:rsidRPr="00AA1EB0">
        <w:rPr>
          <w:rFonts w:ascii="Arial" w:hAnsi="Arial" w:cs="Arial"/>
          <w:color w:val="000000" w:themeColor="text1"/>
        </w:rPr>
        <w:t xml:space="preserve">. IDAP members did not attend these meetings, </w:t>
      </w:r>
      <w:r w:rsidR="00726776" w:rsidRPr="00AA1EB0">
        <w:rPr>
          <w:rFonts w:ascii="Arial" w:hAnsi="Arial" w:cs="Arial"/>
          <w:color w:val="000000" w:themeColor="text1"/>
        </w:rPr>
        <w:t xml:space="preserve">nor have other opportunities to engage with the IDR advisers. There is a shared feeling between the IDR advisers and IDAP members that engagement </w:t>
      </w:r>
      <w:r w:rsidR="00CC2ACE">
        <w:rPr>
          <w:rFonts w:ascii="Arial" w:hAnsi="Arial" w:cs="Arial"/>
          <w:color w:val="000000" w:themeColor="text1"/>
        </w:rPr>
        <w:t>right from</w:t>
      </w:r>
      <w:r w:rsidR="00CC2ACE" w:rsidRPr="00AA1EB0">
        <w:rPr>
          <w:rFonts w:ascii="Arial" w:hAnsi="Arial" w:cs="Arial"/>
          <w:color w:val="000000" w:themeColor="text1"/>
        </w:rPr>
        <w:t xml:space="preserve"> </w:t>
      </w:r>
      <w:r w:rsidR="00726776" w:rsidRPr="00AA1EB0">
        <w:rPr>
          <w:rFonts w:ascii="Arial" w:hAnsi="Arial" w:cs="Arial"/>
          <w:color w:val="000000" w:themeColor="text1"/>
        </w:rPr>
        <w:t xml:space="preserve">this early stage would have been beneficial, and may have helped address some of the issues and concerns arising with both the IDR measures in the guidance and criteria and the panel processes aimed at supporting these measures. </w:t>
      </w:r>
      <w:r w:rsidR="006F2EBA">
        <w:rPr>
          <w:rFonts w:ascii="Arial" w:hAnsi="Arial" w:cs="Arial"/>
          <w:color w:val="000000" w:themeColor="text1"/>
        </w:rPr>
        <w:t xml:space="preserve"> </w:t>
      </w:r>
    </w:p>
    <w:p w14:paraId="0BDD7394" w14:textId="77777777" w:rsidR="00D25469" w:rsidRDefault="00D25469" w:rsidP="003A3BEE">
      <w:pPr>
        <w:pStyle w:val="ListParagraph"/>
        <w:spacing w:after="0" w:line="300" w:lineRule="atLeast"/>
        <w:ind w:left="0"/>
        <w:rPr>
          <w:rFonts w:ascii="Arial" w:hAnsi="Arial" w:cs="Arial"/>
          <w:color w:val="000000" w:themeColor="text1"/>
        </w:rPr>
      </w:pPr>
    </w:p>
    <w:p w14:paraId="2625AA15" w14:textId="45226840" w:rsidR="00A75FE9" w:rsidRPr="00AA1EB0" w:rsidRDefault="00D25469" w:rsidP="003A3BEE">
      <w:pPr>
        <w:numPr>
          <w:ilvl w:val="0"/>
          <w:numId w:val="2"/>
        </w:numPr>
        <w:spacing w:after="0" w:line="300" w:lineRule="atLeast"/>
        <w:ind w:left="0" w:firstLine="0"/>
        <w:contextualSpacing/>
        <w:rPr>
          <w:rFonts w:ascii="Arial" w:hAnsi="Arial" w:cs="Arial"/>
          <w:color w:val="000000" w:themeColor="text1"/>
        </w:rPr>
      </w:pPr>
      <w:r>
        <w:rPr>
          <w:rFonts w:ascii="Arial" w:hAnsi="Arial" w:cs="Arial"/>
          <w:color w:val="000000" w:themeColor="text1"/>
        </w:rPr>
        <w:t>W</w:t>
      </w:r>
      <w:r w:rsidR="006F2EBA">
        <w:rPr>
          <w:rFonts w:ascii="Arial" w:hAnsi="Arial" w:cs="Arial"/>
          <w:color w:val="000000" w:themeColor="text1"/>
        </w:rPr>
        <w:t xml:space="preserve">e felt that lack of early interaction with the main panel chairs meant that we </w:t>
      </w:r>
      <w:r w:rsidR="00C666D1">
        <w:rPr>
          <w:rFonts w:ascii="Arial" w:hAnsi="Arial" w:cs="Arial"/>
          <w:color w:val="000000" w:themeColor="text1"/>
        </w:rPr>
        <w:t xml:space="preserve">did not have the opportunity to </w:t>
      </w:r>
      <w:r>
        <w:rPr>
          <w:rFonts w:ascii="Arial" w:hAnsi="Arial" w:cs="Arial"/>
          <w:color w:val="000000" w:themeColor="text1"/>
        </w:rPr>
        <w:t xml:space="preserve">fully </w:t>
      </w:r>
      <w:r w:rsidR="00C666D1">
        <w:rPr>
          <w:rFonts w:ascii="Arial" w:hAnsi="Arial" w:cs="Arial"/>
          <w:color w:val="000000" w:themeColor="text1"/>
        </w:rPr>
        <w:t>engage them</w:t>
      </w:r>
      <w:r>
        <w:rPr>
          <w:rFonts w:ascii="Arial" w:hAnsi="Arial" w:cs="Arial"/>
          <w:color w:val="000000" w:themeColor="text1"/>
        </w:rPr>
        <w:t xml:space="preserve"> with the detailed considerations we gave to our recommendations and guidance for IDR in REF. At times this meant that we had to lobby </w:t>
      </w:r>
      <w:r w:rsidR="00B019FA">
        <w:rPr>
          <w:rFonts w:ascii="Arial" w:hAnsi="Arial" w:cs="Arial"/>
          <w:color w:val="000000" w:themeColor="text1"/>
        </w:rPr>
        <w:t xml:space="preserve">robustly </w:t>
      </w:r>
      <w:r>
        <w:rPr>
          <w:rFonts w:ascii="Arial" w:hAnsi="Arial" w:cs="Arial"/>
          <w:color w:val="000000" w:themeColor="text1"/>
        </w:rPr>
        <w:t>for and defend the inclusion of IDAP</w:t>
      </w:r>
      <w:r w:rsidR="00B019FA">
        <w:rPr>
          <w:rFonts w:ascii="Arial" w:hAnsi="Arial" w:cs="Arial"/>
          <w:color w:val="000000" w:themeColor="text1"/>
        </w:rPr>
        <w:t>’</w:t>
      </w:r>
      <w:r>
        <w:rPr>
          <w:rFonts w:ascii="Arial" w:hAnsi="Arial" w:cs="Arial"/>
          <w:color w:val="000000" w:themeColor="text1"/>
        </w:rPr>
        <w:t xml:space="preserve">s guidance. </w:t>
      </w:r>
      <w:r w:rsidR="00B019FA">
        <w:rPr>
          <w:rFonts w:ascii="Arial" w:hAnsi="Arial" w:cs="Arial"/>
          <w:color w:val="000000" w:themeColor="text1"/>
        </w:rPr>
        <w:t>Understandably, t</w:t>
      </w:r>
      <w:r>
        <w:rPr>
          <w:rFonts w:ascii="Arial" w:hAnsi="Arial" w:cs="Arial"/>
          <w:color w:val="000000" w:themeColor="text1"/>
        </w:rPr>
        <w:t>his was a source of some frustration to IDAP members</w:t>
      </w:r>
      <w:r w:rsidR="00B019FA">
        <w:rPr>
          <w:rFonts w:ascii="Arial" w:hAnsi="Arial" w:cs="Arial"/>
          <w:color w:val="000000" w:themeColor="text1"/>
        </w:rPr>
        <w:t>.</w:t>
      </w:r>
      <w:r>
        <w:rPr>
          <w:rFonts w:ascii="Arial" w:hAnsi="Arial" w:cs="Arial"/>
          <w:color w:val="000000" w:themeColor="text1"/>
        </w:rPr>
        <w:t xml:space="preserve"> </w:t>
      </w:r>
    </w:p>
    <w:p w14:paraId="0DFAADEA" w14:textId="77777777" w:rsidR="00A75FE9" w:rsidRPr="00AA1EB0" w:rsidRDefault="00A75FE9" w:rsidP="003A3BEE">
      <w:pPr>
        <w:spacing w:after="0" w:line="300" w:lineRule="atLeast"/>
        <w:contextualSpacing/>
        <w:rPr>
          <w:rFonts w:ascii="Arial" w:hAnsi="Arial" w:cs="Arial"/>
          <w:color w:val="000000" w:themeColor="text1"/>
        </w:rPr>
      </w:pPr>
    </w:p>
    <w:p w14:paraId="121F678B" w14:textId="54064633" w:rsidR="00912487" w:rsidRDefault="00912487" w:rsidP="003A3BEE">
      <w:pPr>
        <w:numPr>
          <w:ilvl w:val="0"/>
          <w:numId w:val="2"/>
        </w:numPr>
        <w:spacing w:after="0" w:line="300" w:lineRule="atLeast"/>
        <w:ind w:left="0" w:firstLine="0"/>
        <w:contextualSpacing/>
        <w:rPr>
          <w:rFonts w:ascii="Arial" w:hAnsi="Arial" w:cs="Arial"/>
          <w:color w:val="000000" w:themeColor="text1"/>
        </w:rPr>
      </w:pPr>
      <w:r>
        <w:rPr>
          <w:rFonts w:ascii="Arial" w:hAnsi="Arial" w:cs="Arial"/>
          <w:color w:val="000000" w:themeColor="text1"/>
        </w:rPr>
        <w:t xml:space="preserve">Throughout our work we have been mindful of the need to ensure that there is a clear understanding that there will be equal consideration </w:t>
      </w:r>
      <w:r w:rsidR="00827080">
        <w:rPr>
          <w:rFonts w:ascii="Arial" w:hAnsi="Arial" w:cs="Arial"/>
          <w:color w:val="000000" w:themeColor="text1"/>
        </w:rPr>
        <w:t xml:space="preserve">and parity of esteem </w:t>
      </w:r>
      <w:r>
        <w:rPr>
          <w:rFonts w:ascii="Arial" w:hAnsi="Arial" w:cs="Arial"/>
          <w:color w:val="000000" w:themeColor="text1"/>
        </w:rPr>
        <w:t>for IDR within the assessment</w:t>
      </w:r>
      <w:r w:rsidR="00433A82">
        <w:rPr>
          <w:rFonts w:ascii="Arial" w:hAnsi="Arial" w:cs="Arial"/>
          <w:color w:val="000000" w:themeColor="text1"/>
        </w:rPr>
        <w:t>, and understanding amongst all panel members that this is a shared responsibility</w:t>
      </w:r>
      <w:r>
        <w:rPr>
          <w:rFonts w:ascii="Arial" w:hAnsi="Arial" w:cs="Arial"/>
          <w:color w:val="000000" w:themeColor="text1"/>
        </w:rPr>
        <w:t xml:space="preserve">. A key consideration is that IDR advisers and IDR main panel members should feel that they are able to engage with their panels to support assessment, and that they are </w:t>
      </w:r>
      <w:r w:rsidR="00827080">
        <w:rPr>
          <w:rFonts w:ascii="Arial" w:hAnsi="Arial" w:cs="Arial"/>
          <w:color w:val="000000" w:themeColor="text1"/>
        </w:rPr>
        <w:t xml:space="preserve">in turn </w:t>
      </w:r>
      <w:r>
        <w:rPr>
          <w:rFonts w:ascii="Arial" w:hAnsi="Arial" w:cs="Arial"/>
          <w:color w:val="000000" w:themeColor="text1"/>
        </w:rPr>
        <w:t xml:space="preserve">supported </w:t>
      </w:r>
      <w:r w:rsidR="00827080">
        <w:rPr>
          <w:rFonts w:ascii="Arial" w:hAnsi="Arial" w:cs="Arial"/>
          <w:color w:val="000000" w:themeColor="text1"/>
        </w:rPr>
        <w:t>by</w:t>
      </w:r>
      <w:r w:rsidR="00B96FC5">
        <w:rPr>
          <w:rFonts w:ascii="Arial" w:hAnsi="Arial" w:cs="Arial"/>
          <w:color w:val="000000" w:themeColor="text1"/>
        </w:rPr>
        <w:t xml:space="preserve"> the IDR network</w:t>
      </w:r>
      <w:r w:rsidR="00827080">
        <w:rPr>
          <w:rFonts w:ascii="Arial" w:hAnsi="Arial" w:cs="Arial"/>
          <w:color w:val="000000" w:themeColor="text1"/>
        </w:rPr>
        <w:t xml:space="preserve">, </w:t>
      </w:r>
      <w:r>
        <w:rPr>
          <w:rFonts w:ascii="Arial" w:hAnsi="Arial" w:cs="Arial"/>
          <w:color w:val="000000" w:themeColor="text1"/>
        </w:rPr>
        <w:t>and</w:t>
      </w:r>
      <w:r w:rsidR="00B96FC5">
        <w:rPr>
          <w:rFonts w:ascii="Arial" w:hAnsi="Arial" w:cs="Arial"/>
          <w:color w:val="000000" w:themeColor="text1"/>
        </w:rPr>
        <w:t xml:space="preserve"> are</w:t>
      </w:r>
      <w:r>
        <w:rPr>
          <w:rFonts w:ascii="Arial" w:hAnsi="Arial" w:cs="Arial"/>
          <w:color w:val="000000" w:themeColor="text1"/>
        </w:rPr>
        <w:t xml:space="preserve"> </w:t>
      </w:r>
      <w:r w:rsidR="00B96FC5">
        <w:rPr>
          <w:rFonts w:ascii="Arial" w:hAnsi="Arial" w:cs="Arial"/>
          <w:color w:val="000000" w:themeColor="text1"/>
        </w:rPr>
        <w:t xml:space="preserve">able </w:t>
      </w:r>
      <w:r>
        <w:rPr>
          <w:rFonts w:ascii="Arial" w:hAnsi="Arial" w:cs="Arial"/>
          <w:color w:val="000000" w:themeColor="text1"/>
        </w:rPr>
        <w:t xml:space="preserve">to </w:t>
      </w:r>
      <w:r w:rsidR="00827080">
        <w:rPr>
          <w:rFonts w:ascii="Arial" w:hAnsi="Arial" w:cs="Arial"/>
          <w:color w:val="000000" w:themeColor="text1"/>
        </w:rPr>
        <w:t xml:space="preserve">seek advice, discuss challenging issues </w:t>
      </w:r>
      <w:r>
        <w:rPr>
          <w:rFonts w:ascii="Arial" w:hAnsi="Arial" w:cs="Arial"/>
          <w:color w:val="000000" w:themeColor="text1"/>
        </w:rPr>
        <w:t xml:space="preserve">and </w:t>
      </w:r>
      <w:r w:rsidR="00827080">
        <w:rPr>
          <w:rFonts w:ascii="Arial" w:hAnsi="Arial" w:cs="Arial"/>
          <w:color w:val="000000" w:themeColor="text1"/>
        </w:rPr>
        <w:t xml:space="preserve">raise </w:t>
      </w:r>
      <w:r>
        <w:rPr>
          <w:rFonts w:ascii="Arial" w:hAnsi="Arial" w:cs="Arial"/>
          <w:color w:val="000000" w:themeColor="text1"/>
        </w:rPr>
        <w:t xml:space="preserve">concerns through </w:t>
      </w:r>
      <w:r w:rsidR="00B96FC5">
        <w:rPr>
          <w:rFonts w:ascii="Arial" w:hAnsi="Arial" w:cs="Arial"/>
          <w:color w:val="000000" w:themeColor="text1"/>
        </w:rPr>
        <w:t>it</w:t>
      </w:r>
      <w:r>
        <w:rPr>
          <w:rFonts w:ascii="Arial" w:hAnsi="Arial" w:cs="Arial"/>
          <w:color w:val="000000" w:themeColor="text1"/>
        </w:rPr>
        <w:t xml:space="preserve">. </w:t>
      </w:r>
      <w:r w:rsidR="00CC2ACE">
        <w:rPr>
          <w:rFonts w:ascii="Arial" w:hAnsi="Arial" w:cs="Arial"/>
          <w:color w:val="000000" w:themeColor="text1"/>
        </w:rPr>
        <w:t>We recogni</w:t>
      </w:r>
      <w:r w:rsidR="00B019FA">
        <w:rPr>
          <w:rFonts w:ascii="Arial" w:hAnsi="Arial" w:cs="Arial"/>
          <w:color w:val="000000" w:themeColor="text1"/>
        </w:rPr>
        <w:t>s</w:t>
      </w:r>
      <w:r w:rsidR="00CC2ACE">
        <w:rPr>
          <w:rFonts w:ascii="Arial" w:hAnsi="Arial" w:cs="Arial"/>
          <w:color w:val="000000" w:themeColor="text1"/>
        </w:rPr>
        <w:t>e that each sub-panel will develop its own specific approaches.</w:t>
      </w:r>
    </w:p>
    <w:p w14:paraId="59D402B5" w14:textId="77777777" w:rsidR="00912487" w:rsidRDefault="00912487" w:rsidP="003A3BEE">
      <w:pPr>
        <w:spacing w:after="0" w:line="300" w:lineRule="atLeast"/>
        <w:contextualSpacing/>
        <w:rPr>
          <w:rFonts w:ascii="Arial" w:hAnsi="Arial" w:cs="Arial"/>
          <w:color w:val="000000" w:themeColor="text1"/>
        </w:rPr>
      </w:pPr>
    </w:p>
    <w:p w14:paraId="02A82701" w14:textId="77777777" w:rsidR="00590A34" w:rsidRDefault="00D20AD6" w:rsidP="003A3BEE">
      <w:pPr>
        <w:numPr>
          <w:ilvl w:val="0"/>
          <w:numId w:val="2"/>
        </w:numPr>
        <w:spacing w:after="0" w:line="300" w:lineRule="atLeast"/>
        <w:ind w:left="0" w:firstLine="0"/>
        <w:contextualSpacing/>
        <w:rPr>
          <w:rFonts w:ascii="Arial" w:hAnsi="Arial" w:cs="Arial"/>
          <w:color w:val="000000" w:themeColor="text1"/>
        </w:rPr>
      </w:pPr>
      <w:r w:rsidRPr="00590A34">
        <w:rPr>
          <w:rFonts w:ascii="Arial" w:hAnsi="Arial" w:cs="Arial"/>
          <w:color w:val="000000" w:themeColor="text1"/>
        </w:rPr>
        <w:t xml:space="preserve">Having taken feedback </w:t>
      </w:r>
      <w:r w:rsidR="00A75FE9" w:rsidRPr="00590A34">
        <w:rPr>
          <w:rFonts w:ascii="Arial" w:hAnsi="Arial" w:cs="Arial"/>
          <w:color w:val="000000" w:themeColor="text1"/>
        </w:rPr>
        <w:t xml:space="preserve">from </w:t>
      </w:r>
      <w:r w:rsidRPr="00590A34">
        <w:rPr>
          <w:rFonts w:ascii="Arial" w:hAnsi="Arial" w:cs="Arial"/>
          <w:color w:val="000000" w:themeColor="text1"/>
        </w:rPr>
        <w:t xml:space="preserve">the IDR advisers and </w:t>
      </w:r>
      <w:r w:rsidR="00524880" w:rsidRPr="00590A34">
        <w:rPr>
          <w:rFonts w:ascii="Arial" w:hAnsi="Arial" w:cs="Arial"/>
          <w:color w:val="000000" w:themeColor="text1"/>
        </w:rPr>
        <w:t>main panel IDR leads</w:t>
      </w:r>
      <w:r w:rsidR="00726776" w:rsidRPr="00590A34">
        <w:rPr>
          <w:rFonts w:ascii="Arial" w:hAnsi="Arial" w:cs="Arial"/>
          <w:color w:val="000000" w:themeColor="text1"/>
        </w:rPr>
        <w:t>,</w:t>
      </w:r>
      <w:r w:rsidRPr="00590A34">
        <w:rPr>
          <w:rFonts w:ascii="Arial" w:hAnsi="Arial" w:cs="Arial"/>
          <w:color w:val="000000" w:themeColor="text1"/>
        </w:rPr>
        <w:t xml:space="preserve"> we recognised the need to improve the communication around IDR</w:t>
      </w:r>
      <w:r w:rsidR="009668C0" w:rsidRPr="00590A34">
        <w:rPr>
          <w:rFonts w:ascii="Arial" w:hAnsi="Arial" w:cs="Arial"/>
          <w:color w:val="000000" w:themeColor="text1"/>
        </w:rPr>
        <w:t xml:space="preserve"> between</w:t>
      </w:r>
      <w:r w:rsidRPr="00590A34">
        <w:rPr>
          <w:rFonts w:ascii="Arial" w:hAnsi="Arial" w:cs="Arial"/>
          <w:color w:val="000000" w:themeColor="text1"/>
        </w:rPr>
        <w:t xml:space="preserve"> IDAP, main panel IDR </w:t>
      </w:r>
      <w:r w:rsidR="009668C0" w:rsidRPr="00590A34">
        <w:rPr>
          <w:rFonts w:ascii="Arial" w:hAnsi="Arial" w:cs="Arial"/>
          <w:color w:val="000000" w:themeColor="text1"/>
        </w:rPr>
        <w:t xml:space="preserve">leads </w:t>
      </w:r>
      <w:r w:rsidRPr="00590A34">
        <w:rPr>
          <w:rFonts w:ascii="Arial" w:hAnsi="Arial" w:cs="Arial"/>
          <w:color w:val="000000" w:themeColor="text1"/>
        </w:rPr>
        <w:t xml:space="preserve">and sub-panel IDR advisers. To this end, </w:t>
      </w:r>
      <w:r w:rsidR="00726776" w:rsidRPr="00CC50FF">
        <w:rPr>
          <w:rFonts w:ascii="Arial" w:hAnsi="Arial" w:cs="Arial"/>
          <w:color w:val="000000" w:themeColor="text1"/>
        </w:rPr>
        <w:t>we held</w:t>
      </w:r>
      <w:r w:rsidRPr="00CC50FF">
        <w:rPr>
          <w:rFonts w:ascii="Arial" w:hAnsi="Arial" w:cs="Arial"/>
          <w:color w:val="000000" w:themeColor="text1"/>
        </w:rPr>
        <w:t xml:space="preserve"> a meeting in advance of the third round of </w:t>
      </w:r>
      <w:r w:rsidR="009668C0" w:rsidRPr="00CC50FF">
        <w:rPr>
          <w:rFonts w:ascii="Arial" w:hAnsi="Arial" w:cs="Arial"/>
          <w:color w:val="000000" w:themeColor="text1"/>
        </w:rPr>
        <w:t>main and sub-</w:t>
      </w:r>
      <w:r w:rsidRPr="00CC50FF">
        <w:rPr>
          <w:rFonts w:ascii="Arial" w:hAnsi="Arial" w:cs="Arial"/>
          <w:color w:val="000000" w:themeColor="text1"/>
        </w:rPr>
        <w:t>panel meetings for these group</w:t>
      </w:r>
      <w:r w:rsidR="00726776" w:rsidRPr="00CC50FF">
        <w:rPr>
          <w:rFonts w:ascii="Arial" w:hAnsi="Arial" w:cs="Arial"/>
          <w:color w:val="000000" w:themeColor="text1"/>
        </w:rPr>
        <w:t>s</w:t>
      </w:r>
      <w:r w:rsidRPr="00CC50FF">
        <w:rPr>
          <w:rFonts w:ascii="Arial" w:hAnsi="Arial" w:cs="Arial"/>
          <w:color w:val="000000" w:themeColor="text1"/>
        </w:rPr>
        <w:t xml:space="preserve"> to explore guidelines and working practice together.</w:t>
      </w:r>
      <w:r w:rsidR="00506EE7" w:rsidRPr="00CC50FF">
        <w:rPr>
          <w:rFonts w:ascii="Arial" w:hAnsi="Arial" w:cs="Arial"/>
          <w:color w:val="000000" w:themeColor="text1"/>
        </w:rPr>
        <w:t xml:space="preserve"> </w:t>
      </w:r>
    </w:p>
    <w:p w14:paraId="38ED4F78" w14:textId="77777777" w:rsidR="00B275A9" w:rsidRDefault="00B275A9" w:rsidP="003A3BEE">
      <w:pPr>
        <w:spacing w:after="0" w:line="300" w:lineRule="atLeast"/>
        <w:contextualSpacing/>
        <w:rPr>
          <w:rFonts w:ascii="Arial" w:hAnsi="Arial" w:cs="Arial"/>
          <w:color w:val="000000" w:themeColor="text1"/>
        </w:rPr>
      </w:pPr>
    </w:p>
    <w:p w14:paraId="6914B4FE" w14:textId="078A1891" w:rsidR="00B01923" w:rsidRPr="00541712" w:rsidRDefault="00F213C7" w:rsidP="003A3BEE">
      <w:pPr>
        <w:numPr>
          <w:ilvl w:val="0"/>
          <w:numId w:val="2"/>
        </w:numPr>
        <w:spacing w:after="0" w:line="300" w:lineRule="atLeast"/>
        <w:ind w:left="0" w:firstLine="0"/>
        <w:contextualSpacing/>
        <w:rPr>
          <w:rFonts w:ascii="Arial" w:hAnsi="Arial" w:cs="Arial"/>
          <w:color w:val="000000" w:themeColor="text1"/>
        </w:rPr>
      </w:pPr>
      <w:r w:rsidRPr="00246E0C">
        <w:rPr>
          <w:rFonts w:ascii="Arial" w:hAnsi="Arial" w:cs="Arial"/>
          <w:color w:val="000000" w:themeColor="text1"/>
        </w:rPr>
        <w:t xml:space="preserve">In meeting with </w:t>
      </w:r>
      <w:r w:rsidR="00590A34" w:rsidRPr="00246E0C">
        <w:rPr>
          <w:rFonts w:ascii="Arial" w:hAnsi="Arial" w:cs="Arial"/>
          <w:color w:val="000000" w:themeColor="text1"/>
        </w:rPr>
        <w:t xml:space="preserve">the </w:t>
      </w:r>
      <w:r w:rsidR="00590A34" w:rsidRPr="00D02482">
        <w:rPr>
          <w:rFonts w:ascii="Arial" w:hAnsi="Arial" w:cs="Arial"/>
          <w:color w:val="000000" w:themeColor="text1"/>
        </w:rPr>
        <w:t>IDR network</w:t>
      </w:r>
      <w:r w:rsidRPr="00D02482">
        <w:rPr>
          <w:rFonts w:ascii="Arial" w:hAnsi="Arial" w:cs="Arial"/>
          <w:color w:val="000000" w:themeColor="text1"/>
        </w:rPr>
        <w:t xml:space="preserve"> we were able to explore issues of concern for panels</w:t>
      </w:r>
      <w:r w:rsidR="00CC2ACE">
        <w:rPr>
          <w:rFonts w:ascii="Arial" w:hAnsi="Arial" w:cs="Arial"/>
          <w:color w:val="000000" w:themeColor="text1"/>
        </w:rPr>
        <w:t xml:space="preserve"> and sub-panels</w:t>
      </w:r>
      <w:r w:rsidR="0094273B" w:rsidRPr="00D02482">
        <w:rPr>
          <w:rFonts w:ascii="Arial" w:hAnsi="Arial" w:cs="Arial"/>
          <w:color w:val="000000" w:themeColor="text1"/>
        </w:rPr>
        <w:t xml:space="preserve">. We were also able to </w:t>
      </w:r>
      <w:r w:rsidRPr="00D02482">
        <w:rPr>
          <w:rFonts w:ascii="Arial" w:hAnsi="Arial" w:cs="Arial"/>
          <w:color w:val="000000" w:themeColor="text1"/>
        </w:rPr>
        <w:t xml:space="preserve">provide clarification </w:t>
      </w:r>
      <w:r w:rsidR="00590A34" w:rsidRPr="00D02482">
        <w:rPr>
          <w:rFonts w:ascii="Arial" w:hAnsi="Arial" w:cs="Arial"/>
          <w:color w:val="000000" w:themeColor="text1"/>
        </w:rPr>
        <w:t xml:space="preserve">on our </w:t>
      </w:r>
      <w:r w:rsidR="00827080" w:rsidRPr="00D02482">
        <w:rPr>
          <w:rFonts w:ascii="Arial" w:hAnsi="Arial" w:cs="Arial"/>
          <w:color w:val="000000" w:themeColor="text1"/>
        </w:rPr>
        <w:t xml:space="preserve">considerations </w:t>
      </w:r>
      <w:r w:rsidR="00590A34" w:rsidRPr="00D02482">
        <w:rPr>
          <w:rFonts w:ascii="Arial" w:hAnsi="Arial" w:cs="Arial"/>
          <w:color w:val="000000" w:themeColor="text1"/>
        </w:rPr>
        <w:t>in developing</w:t>
      </w:r>
      <w:r w:rsidR="00B96FC5">
        <w:rPr>
          <w:rFonts w:ascii="Arial" w:hAnsi="Arial" w:cs="Arial"/>
          <w:color w:val="000000" w:themeColor="text1"/>
        </w:rPr>
        <w:t xml:space="preserve"> the</w:t>
      </w:r>
      <w:r w:rsidR="00590A34" w:rsidRPr="00D02482">
        <w:rPr>
          <w:rFonts w:ascii="Arial" w:hAnsi="Arial" w:cs="Arial"/>
          <w:color w:val="000000" w:themeColor="text1"/>
        </w:rPr>
        <w:t xml:space="preserve"> guidance</w:t>
      </w:r>
      <w:r w:rsidR="00315C96" w:rsidRPr="00D02482">
        <w:rPr>
          <w:rFonts w:ascii="Arial" w:hAnsi="Arial" w:cs="Arial"/>
          <w:color w:val="000000" w:themeColor="text1"/>
        </w:rPr>
        <w:t xml:space="preserve"> for the criteria</w:t>
      </w:r>
      <w:r w:rsidR="00246E0C" w:rsidRPr="00D02482">
        <w:rPr>
          <w:rFonts w:ascii="Arial" w:hAnsi="Arial" w:cs="Arial"/>
          <w:color w:val="000000" w:themeColor="text1"/>
        </w:rPr>
        <w:t>,</w:t>
      </w:r>
      <w:r w:rsidR="00912487" w:rsidRPr="00D02482">
        <w:rPr>
          <w:rFonts w:ascii="Arial" w:hAnsi="Arial" w:cs="Arial"/>
          <w:color w:val="000000" w:themeColor="text1"/>
        </w:rPr>
        <w:t xml:space="preserve"> </w:t>
      </w:r>
      <w:r w:rsidR="00D02482">
        <w:rPr>
          <w:rFonts w:ascii="Arial" w:hAnsi="Arial" w:cs="Arial"/>
          <w:color w:val="000000" w:themeColor="text1"/>
        </w:rPr>
        <w:t xml:space="preserve">and our proposals for </w:t>
      </w:r>
      <w:r w:rsidR="00912487" w:rsidRPr="00D02482">
        <w:rPr>
          <w:rFonts w:ascii="Arial" w:hAnsi="Arial" w:cs="Arial"/>
          <w:color w:val="000000" w:themeColor="text1"/>
        </w:rPr>
        <w:t xml:space="preserve">the </w:t>
      </w:r>
      <w:r w:rsidR="00B96FC5">
        <w:rPr>
          <w:rFonts w:ascii="Arial" w:hAnsi="Arial" w:cs="Arial"/>
          <w:color w:val="000000" w:themeColor="text1"/>
        </w:rPr>
        <w:t xml:space="preserve">role of the </w:t>
      </w:r>
      <w:r w:rsidR="00912487" w:rsidRPr="00D02482">
        <w:rPr>
          <w:rFonts w:ascii="Arial" w:hAnsi="Arial" w:cs="Arial"/>
          <w:color w:val="000000" w:themeColor="text1"/>
        </w:rPr>
        <w:t xml:space="preserve">IDR network </w:t>
      </w:r>
      <w:r w:rsidR="00D02482">
        <w:rPr>
          <w:rFonts w:ascii="Arial" w:hAnsi="Arial" w:cs="Arial"/>
          <w:color w:val="000000" w:themeColor="text1"/>
        </w:rPr>
        <w:t xml:space="preserve">in supporting </w:t>
      </w:r>
      <w:r w:rsidR="00912487" w:rsidRPr="00D02482">
        <w:rPr>
          <w:rFonts w:ascii="Arial" w:hAnsi="Arial" w:cs="Arial"/>
          <w:color w:val="000000" w:themeColor="text1"/>
        </w:rPr>
        <w:t xml:space="preserve">assessment. </w:t>
      </w:r>
      <w:r w:rsidR="00B01923" w:rsidRPr="00D02482">
        <w:rPr>
          <w:rFonts w:ascii="Arial" w:hAnsi="Arial" w:cs="Arial"/>
          <w:color w:val="000000" w:themeColor="text1"/>
        </w:rPr>
        <w:t xml:space="preserve">The </w:t>
      </w:r>
      <w:r w:rsidR="00315C96" w:rsidRPr="00D02482">
        <w:rPr>
          <w:rFonts w:ascii="Arial" w:hAnsi="Arial" w:cs="Arial"/>
          <w:color w:val="000000" w:themeColor="text1"/>
        </w:rPr>
        <w:t xml:space="preserve">meeting </w:t>
      </w:r>
      <w:r w:rsidR="00B01923" w:rsidRPr="00D02482">
        <w:rPr>
          <w:rFonts w:ascii="Arial" w:hAnsi="Arial" w:cs="Arial"/>
          <w:color w:val="000000" w:themeColor="text1"/>
        </w:rPr>
        <w:t xml:space="preserve">reviewed the proposed </w:t>
      </w:r>
      <w:r w:rsidR="00315C96" w:rsidRPr="00D02482">
        <w:rPr>
          <w:rFonts w:ascii="Arial" w:hAnsi="Arial" w:cs="Arial"/>
          <w:color w:val="000000" w:themeColor="text1"/>
        </w:rPr>
        <w:t xml:space="preserve">scheduling of meetings for the network within the assessment phase and discussed how the network could </w:t>
      </w:r>
      <w:r w:rsidR="00B96FC5">
        <w:rPr>
          <w:rFonts w:ascii="Arial" w:hAnsi="Arial" w:cs="Arial"/>
          <w:color w:val="000000" w:themeColor="text1"/>
        </w:rPr>
        <w:t xml:space="preserve">provide </w:t>
      </w:r>
      <w:r w:rsidR="00315C96" w:rsidRPr="00D02482">
        <w:rPr>
          <w:rFonts w:ascii="Arial" w:hAnsi="Arial" w:cs="Arial"/>
          <w:color w:val="000000" w:themeColor="text1"/>
        </w:rPr>
        <w:t xml:space="preserve">practical support </w:t>
      </w:r>
      <w:r w:rsidR="00B96FC5">
        <w:rPr>
          <w:rFonts w:ascii="Arial" w:hAnsi="Arial" w:cs="Arial"/>
          <w:color w:val="000000" w:themeColor="text1"/>
        </w:rPr>
        <w:t>to</w:t>
      </w:r>
      <w:r w:rsidR="00315C96" w:rsidRPr="00D02482">
        <w:rPr>
          <w:rFonts w:ascii="Arial" w:hAnsi="Arial" w:cs="Arial"/>
          <w:color w:val="000000" w:themeColor="text1"/>
        </w:rPr>
        <w:t xml:space="preserve"> the sub-panels in undertaking assessment</w:t>
      </w:r>
      <w:r w:rsidR="00315C96" w:rsidRPr="00541712">
        <w:rPr>
          <w:rFonts w:ascii="Arial" w:hAnsi="Arial" w:cs="Arial"/>
          <w:color w:val="000000" w:themeColor="text1"/>
        </w:rPr>
        <w:t>.</w:t>
      </w:r>
    </w:p>
    <w:p w14:paraId="2BEB4D86" w14:textId="77777777" w:rsidR="00315C96" w:rsidRDefault="00315C96" w:rsidP="003A3BEE">
      <w:pPr>
        <w:spacing w:after="0" w:line="300" w:lineRule="atLeast"/>
        <w:contextualSpacing/>
        <w:rPr>
          <w:rFonts w:ascii="Arial" w:hAnsi="Arial" w:cs="Arial"/>
          <w:color w:val="000000" w:themeColor="text1"/>
        </w:rPr>
      </w:pPr>
    </w:p>
    <w:p w14:paraId="1AAE85F0" w14:textId="57DD24CD" w:rsidR="00CC50FF" w:rsidRDefault="00590A34" w:rsidP="003A3BEE">
      <w:pPr>
        <w:numPr>
          <w:ilvl w:val="0"/>
          <w:numId w:val="2"/>
        </w:numPr>
        <w:spacing w:after="0" w:line="300" w:lineRule="atLeast"/>
        <w:ind w:left="0" w:firstLine="0"/>
        <w:contextualSpacing/>
        <w:rPr>
          <w:rFonts w:ascii="Arial" w:hAnsi="Arial" w:cs="Arial"/>
          <w:color w:val="000000" w:themeColor="text1"/>
        </w:rPr>
      </w:pPr>
      <w:r>
        <w:rPr>
          <w:rFonts w:ascii="Arial" w:hAnsi="Arial" w:cs="Arial"/>
          <w:color w:val="000000" w:themeColor="text1"/>
        </w:rPr>
        <w:t xml:space="preserve">Some of the key issues </w:t>
      </w:r>
      <w:r w:rsidR="001F48F9">
        <w:rPr>
          <w:rFonts w:ascii="Arial" w:hAnsi="Arial" w:cs="Arial"/>
          <w:color w:val="000000" w:themeColor="text1"/>
        </w:rPr>
        <w:t xml:space="preserve">raised </w:t>
      </w:r>
      <w:r w:rsidR="00B96FC5">
        <w:rPr>
          <w:rFonts w:ascii="Arial" w:hAnsi="Arial" w:cs="Arial"/>
          <w:color w:val="000000" w:themeColor="text1"/>
        </w:rPr>
        <w:t>by</w:t>
      </w:r>
      <w:r w:rsidR="00DD150A">
        <w:rPr>
          <w:rFonts w:ascii="Arial" w:hAnsi="Arial" w:cs="Arial"/>
          <w:color w:val="000000" w:themeColor="text1"/>
        </w:rPr>
        <w:t xml:space="preserve"> </w:t>
      </w:r>
      <w:r>
        <w:rPr>
          <w:rFonts w:ascii="Arial" w:hAnsi="Arial" w:cs="Arial"/>
          <w:color w:val="000000" w:themeColor="text1"/>
        </w:rPr>
        <w:t xml:space="preserve">panels </w:t>
      </w:r>
      <w:r w:rsidR="00DD150A">
        <w:rPr>
          <w:rFonts w:ascii="Arial" w:hAnsi="Arial" w:cs="Arial"/>
          <w:color w:val="000000" w:themeColor="text1"/>
        </w:rPr>
        <w:t xml:space="preserve">concerned </w:t>
      </w:r>
      <w:r>
        <w:rPr>
          <w:rFonts w:ascii="Arial" w:hAnsi="Arial" w:cs="Arial"/>
          <w:color w:val="000000" w:themeColor="text1"/>
        </w:rPr>
        <w:t>consistency in approach</w:t>
      </w:r>
      <w:r w:rsidR="00DD150A">
        <w:rPr>
          <w:rFonts w:ascii="Arial" w:hAnsi="Arial" w:cs="Arial"/>
          <w:color w:val="000000" w:themeColor="text1"/>
        </w:rPr>
        <w:t xml:space="preserve"> across </w:t>
      </w:r>
      <w:r w:rsidR="00B96FC5">
        <w:rPr>
          <w:rFonts w:ascii="Arial" w:hAnsi="Arial" w:cs="Arial"/>
          <w:color w:val="000000" w:themeColor="text1"/>
        </w:rPr>
        <w:t>sub-</w:t>
      </w:r>
      <w:r w:rsidR="00DD150A">
        <w:rPr>
          <w:rFonts w:ascii="Arial" w:hAnsi="Arial" w:cs="Arial"/>
          <w:color w:val="000000" w:themeColor="text1"/>
        </w:rPr>
        <w:t>panels</w:t>
      </w:r>
      <w:r>
        <w:rPr>
          <w:rFonts w:ascii="Arial" w:hAnsi="Arial" w:cs="Arial"/>
          <w:color w:val="000000" w:themeColor="text1"/>
        </w:rPr>
        <w:t xml:space="preserve">, </w:t>
      </w:r>
      <w:r w:rsidR="00B01923">
        <w:rPr>
          <w:rFonts w:ascii="Arial" w:hAnsi="Arial" w:cs="Arial"/>
          <w:color w:val="000000" w:themeColor="text1"/>
        </w:rPr>
        <w:t xml:space="preserve">and </w:t>
      </w:r>
      <w:r w:rsidR="00315C96">
        <w:rPr>
          <w:rFonts w:ascii="Arial" w:hAnsi="Arial" w:cs="Arial"/>
          <w:color w:val="000000" w:themeColor="text1"/>
        </w:rPr>
        <w:t>how HEIs</w:t>
      </w:r>
      <w:r w:rsidR="001F48F9">
        <w:rPr>
          <w:rFonts w:ascii="Arial" w:hAnsi="Arial" w:cs="Arial"/>
          <w:color w:val="000000" w:themeColor="text1"/>
        </w:rPr>
        <w:t>,</w:t>
      </w:r>
      <w:r w:rsidR="00315C96">
        <w:rPr>
          <w:rFonts w:ascii="Arial" w:hAnsi="Arial" w:cs="Arial"/>
          <w:color w:val="000000" w:themeColor="text1"/>
        </w:rPr>
        <w:t xml:space="preserve"> </w:t>
      </w:r>
      <w:r w:rsidR="00DD150A">
        <w:rPr>
          <w:rFonts w:ascii="Arial" w:hAnsi="Arial" w:cs="Arial"/>
          <w:color w:val="000000" w:themeColor="text1"/>
        </w:rPr>
        <w:t>sub-</w:t>
      </w:r>
      <w:r w:rsidR="00315C96">
        <w:rPr>
          <w:rFonts w:ascii="Arial" w:hAnsi="Arial" w:cs="Arial"/>
          <w:color w:val="000000" w:themeColor="text1"/>
        </w:rPr>
        <w:t xml:space="preserve">panels </w:t>
      </w:r>
      <w:r w:rsidR="001F48F9">
        <w:rPr>
          <w:rFonts w:ascii="Arial" w:hAnsi="Arial" w:cs="Arial"/>
          <w:color w:val="000000" w:themeColor="text1"/>
        </w:rPr>
        <w:t xml:space="preserve">and </w:t>
      </w:r>
      <w:r w:rsidR="001F1BB3">
        <w:rPr>
          <w:rFonts w:ascii="Arial" w:hAnsi="Arial" w:cs="Arial"/>
          <w:color w:val="000000" w:themeColor="text1"/>
        </w:rPr>
        <w:t>the funding bodies</w:t>
      </w:r>
      <w:r w:rsidR="001F48F9">
        <w:rPr>
          <w:rFonts w:ascii="Arial" w:hAnsi="Arial" w:cs="Arial"/>
          <w:color w:val="000000" w:themeColor="text1"/>
        </w:rPr>
        <w:t xml:space="preserve"> </w:t>
      </w:r>
      <w:r w:rsidR="00315C96">
        <w:rPr>
          <w:rFonts w:ascii="Arial" w:hAnsi="Arial" w:cs="Arial"/>
          <w:color w:val="000000" w:themeColor="text1"/>
        </w:rPr>
        <w:t xml:space="preserve">will </w:t>
      </w:r>
      <w:r w:rsidR="00C46153">
        <w:rPr>
          <w:rFonts w:ascii="Arial" w:hAnsi="Arial" w:cs="Arial"/>
          <w:color w:val="000000" w:themeColor="text1"/>
        </w:rPr>
        <w:t xml:space="preserve">each </w:t>
      </w:r>
      <w:r w:rsidR="00315C96">
        <w:rPr>
          <w:rFonts w:ascii="Arial" w:hAnsi="Arial" w:cs="Arial"/>
          <w:color w:val="000000" w:themeColor="text1"/>
        </w:rPr>
        <w:t xml:space="preserve">use </w:t>
      </w:r>
      <w:r w:rsidR="00B01923">
        <w:rPr>
          <w:rFonts w:ascii="Arial" w:hAnsi="Arial" w:cs="Arial"/>
          <w:color w:val="000000" w:themeColor="text1"/>
        </w:rPr>
        <w:t xml:space="preserve">the IDR indicator. </w:t>
      </w:r>
      <w:r w:rsidR="00315C96">
        <w:rPr>
          <w:rFonts w:ascii="Arial" w:hAnsi="Arial" w:cs="Arial"/>
          <w:color w:val="000000" w:themeColor="text1"/>
        </w:rPr>
        <w:t xml:space="preserve">There were </w:t>
      </w:r>
      <w:r w:rsidR="00DD150A">
        <w:rPr>
          <w:rFonts w:ascii="Arial" w:hAnsi="Arial" w:cs="Arial"/>
          <w:color w:val="000000" w:themeColor="text1"/>
        </w:rPr>
        <w:t xml:space="preserve">also </w:t>
      </w:r>
      <w:r>
        <w:rPr>
          <w:rFonts w:ascii="Arial" w:hAnsi="Arial" w:cs="Arial"/>
          <w:color w:val="000000" w:themeColor="text1"/>
        </w:rPr>
        <w:t>a number of suggestions</w:t>
      </w:r>
      <w:r w:rsidR="00B01923">
        <w:rPr>
          <w:rFonts w:ascii="Arial" w:hAnsi="Arial" w:cs="Arial"/>
          <w:color w:val="000000" w:themeColor="text1"/>
        </w:rPr>
        <w:t xml:space="preserve">, </w:t>
      </w:r>
      <w:r>
        <w:rPr>
          <w:rFonts w:ascii="Arial" w:hAnsi="Arial" w:cs="Arial"/>
          <w:color w:val="000000" w:themeColor="text1"/>
        </w:rPr>
        <w:t xml:space="preserve">including </w:t>
      </w:r>
      <w:r w:rsidR="00CC2ACE">
        <w:rPr>
          <w:rFonts w:ascii="Arial" w:hAnsi="Arial" w:cs="Arial"/>
          <w:color w:val="000000" w:themeColor="text1"/>
        </w:rPr>
        <w:t xml:space="preserve">a </w:t>
      </w:r>
      <w:r w:rsidR="00CC50FF">
        <w:rPr>
          <w:rFonts w:ascii="Arial" w:hAnsi="Arial" w:cs="Arial"/>
          <w:color w:val="000000" w:themeColor="text1"/>
        </w:rPr>
        <w:t xml:space="preserve">need to ensure that calibration for IDR </w:t>
      </w:r>
      <w:r w:rsidR="001F1BB3">
        <w:rPr>
          <w:rFonts w:ascii="Arial" w:hAnsi="Arial" w:cs="Arial"/>
          <w:color w:val="000000" w:themeColor="text1"/>
        </w:rPr>
        <w:t>is</w:t>
      </w:r>
      <w:r w:rsidR="00315C96">
        <w:rPr>
          <w:rFonts w:ascii="Arial" w:hAnsi="Arial" w:cs="Arial"/>
          <w:color w:val="000000" w:themeColor="text1"/>
        </w:rPr>
        <w:t xml:space="preserve"> </w:t>
      </w:r>
      <w:r w:rsidR="00CC50FF">
        <w:rPr>
          <w:rFonts w:ascii="Arial" w:hAnsi="Arial" w:cs="Arial"/>
          <w:color w:val="000000" w:themeColor="text1"/>
        </w:rPr>
        <w:t>undertaken early in the assessment phase and involve</w:t>
      </w:r>
      <w:r w:rsidR="001F1BB3">
        <w:rPr>
          <w:rFonts w:ascii="Arial" w:hAnsi="Arial" w:cs="Arial"/>
          <w:color w:val="000000" w:themeColor="text1"/>
        </w:rPr>
        <w:t>s</w:t>
      </w:r>
      <w:r w:rsidR="00CC50FF">
        <w:rPr>
          <w:rFonts w:ascii="Arial" w:hAnsi="Arial" w:cs="Arial"/>
          <w:color w:val="000000" w:themeColor="text1"/>
        </w:rPr>
        <w:t xml:space="preserve"> all sub-panel members.</w:t>
      </w:r>
    </w:p>
    <w:p w14:paraId="7D09D83B" w14:textId="77777777" w:rsidR="00315C96" w:rsidRDefault="00315C96" w:rsidP="003A3BEE">
      <w:pPr>
        <w:spacing w:after="0" w:line="300" w:lineRule="atLeast"/>
        <w:contextualSpacing/>
        <w:rPr>
          <w:rFonts w:ascii="Arial" w:hAnsi="Arial" w:cs="Arial"/>
          <w:color w:val="000000" w:themeColor="text1"/>
        </w:rPr>
      </w:pPr>
    </w:p>
    <w:p w14:paraId="79FF0723" w14:textId="26CC9A6A" w:rsidR="00B275A9" w:rsidRDefault="00B275A9" w:rsidP="003A3BEE">
      <w:pPr>
        <w:numPr>
          <w:ilvl w:val="0"/>
          <w:numId w:val="2"/>
        </w:numPr>
        <w:spacing w:after="0" w:line="300" w:lineRule="atLeast"/>
        <w:ind w:left="0" w:firstLine="0"/>
        <w:contextualSpacing/>
        <w:rPr>
          <w:rFonts w:ascii="Arial" w:hAnsi="Arial" w:cs="Arial"/>
          <w:color w:val="000000" w:themeColor="text1"/>
        </w:rPr>
      </w:pPr>
      <w:r w:rsidRPr="00CC50FF">
        <w:rPr>
          <w:rFonts w:ascii="Arial" w:hAnsi="Arial" w:cs="Arial"/>
          <w:color w:val="000000" w:themeColor="text1"/>
        </w:rPr>
        <w:t>IDR network members</w:t>
      </w:r>
      <w:r w:rsidR="001F1BB3">
        <w:rPr>
          <w:rFonts w:ascii="Arial" w:hAnsi="Arial" w:cs="Arial"/>
          <w:color w:val="000000" w:themeColor="text1"/>
        </w:rPr>
        <w:t xml:space="preserve"> highlighted that they </w:t>
      </w:r>
      <w:r w:rsidRPr="00CC50FF">
        <w:rPr>
          <w:rFonts w:ascii="Arial" w:hAnsi="Arial" w:cs="Arial"/>
          <w:color w:val="000000" w:themeColor="text1"/>
        </w:rPr>
        <w:t xml:space="preserve">would welcome additional support for IDR advisers and panel members </w:t>
      </w:r>
      <w:r w:rsidR="001F1BB3">
        <w:rPr>
          <w:rFonts w:ascii="Arial" w:hAnsi="Arial" w:cs="Arial"/>
          <w:color w:val="000000" w:themeColor="text1"/>
        </w:rPr>
        <w:t>in the</w:t>
      </w:r>
      <w:r>
        <w:rPr>
          <w:rFonts w:ascii="Arial" w:hAnsi="Arial" w:cs="Arial"/>
          <w:color w:val="000000" w:themeColor="text1"/>
        </w:rPr>
        <w:t xml:space="preserve"> </w:t>
      </w:r>
      <w:r w:rsidRPr="00CC50FF">
        <w:rPr>
          <w:rFonts w:ascii="Arial" w:hAnsi="Arial" w:cs="Arial"/>
          <w:color w:val="000000" w:themeColor="text1"/>
        </w:rPr>
        <w:t>assessment</w:t>
      </w:r>
      <w:r w:rsidR="001F1BB3">
        <w:rPr>
          <w:rFonts w:ascii="Arial" w:hAnsi="Arial" w:cs="Arial"/>
          <w:color w:val="000000" w:themeColor="text1"/>
        </w:rPr>
        <w:t xml:space="preserve"> phase</w:t>
      </w:r>
      <w:r w:rsidRPr="00CC50FF">
        <w:rPr>
          <w:rFonts w:ascii="Arial" w:hAnsi="Arial" w:cs="Arial"/>
          <w:color w:val="000000" w:themeColor="text1"/>
        </w:rPr>
        <w:t xml:space="preserve">. To </w:t>
      </w:r>
      <w:r w:rsidRPr="00527DA9">
        <w:rPr>
          <w:rFonts w:ascii="Arial" w:hAnsi="Arial" w:cs="Arial"/>
          <w:color w:val="000000" w:themeColor="text1"/>
        </w:rPr>
        <w:t xml:space="preserve">this end we have agreed </w:t>
      </w:r>
      <w:r w:rsidR="001F1BB3">
        <w:rPr>
          <w:rFonts w:ascii="Arial" w:hAnsi="Arial" w:cs="Arial"/>
          <w:color w:val="000000" w:themeColor="text1"/>
        </w:rPr>
        <w:t>to</w:t>
      </w:r>
      <w:r w:rsidRPr="00527DA9">
        <w:rPr>
          <w:rFonts w:ascii="Arial" w:hAnsi="Arial" w:cs="Arial"/>
          <w:color w:val="000000" w:themeColor="text1"/>
        </w:rPr>
        <w:t xml:space="preserve"> work</w:t>
      </w:r>
      <w:r w:rsidRPr="00B275A9">
        <w:rPr>
          <w:rFonts w:ascii="Arial" w:hAnsi="Arial" w:cs="Arial"/>
          <w:color w:val="000000" w:themeColor="text1"/>
        </w:rPr>
        <w:t xml:space="preserve"> with the network to develop a briefing in advance of the assessment phase</w:t>
      </w:r>
      <w:r w:rsidR="001F1BB3">
        <w:rPr>
          <w:rFonts w:ascii="Arial" w:hAnsi="Arial" w:cs="Arial"/>
          <w:color w:val="000000" w:themeColor="text1"/>
        </w:rPr>
        <w:t xml:space="preserve"> </w:t>
      </w:r>
      <w:r w:rsidR="00FD40B3">
        <w:rPr>
          <w:rFonts w:ascii="Arial" w:hAnsi="Arial" w:cs="Arial"/>
          <w:color w:val="000000" w:themeColor="text1"/>
        </w:rPr>
        <w:t xml:space="preserve">to </w:t>
      </w:r>
      <w:r w:rsidR="001F1BB3">
        <w:rPr>
          <w:rFonts w:ascii="Arial" w:hAnsi="Arial" w:cs="Arial"/>
          <w:color w:val="000000" w:themeColor="text1"/>
        </w:rPr>
        <w:t>feed into</w:t>
      </w:r>
      <w:r w:rsidRPr="00B275A9">
        <w:rPr>
          <w:rFonts w:ascii="Arial" w:hAnsi="Arial" w:cs="Arial"/>
          <w:color w:val="000000" w:themeColor="text1"/>
        </w:rPr>
        <w:t xml:space="preserve"> the induction of new </w:t>
      </w:r>
      <w:r w:rsidR="00B8558E">
        <w:rPr>
          <w:rFonts w:ascii="Arial" w:hAnsi="Arial" w:cs="Arial"/>
          <w:color w:val="000000" w:themeColor="text1"/>
        </w:rPr>
        <w:t xml:space="preserve">IDR advisers </w:t>
      </w:r>
      <w:r w:rsidRPr="00B275A9">
        <w:rPr>
          <w:rFonts w:ascii="Arial" w:hAnsi="Arial" w:cs="Arial"/>
          <w:color w:val="000000" w:themeColor="text1"/>
        </w:rPr>
        <w:t>in 2020</w:t>
      </w:r>
      <w:r w:rsidR="00B8558E">
        <w:rPr>
          <w:rFonts w:ascii="Arial" w:hAnsi="Arial" w:cs="Arial"/>
          <w:color w:val="000000" w:themeColor="text1"/>
        </w:rPr>
        <w:t xml:space="preserve"> and </w:t>
      </w:r>
      <w:r w:rsidR="001F1BB3">
        <w:rPr>
          <w:rFonts w:ascii="Arial" w:hAnsi="Arial" w:cs="Arial"/>
          <w:color w:val="000000" w:themeColor="text1"/>
        </w:rPr>
        <w:t xml:space="preserve">more broadly </w:t>
      </w:r>
      <w:r w:rsidR="00B8558E">
        <w:rPr>
          <w:rFonts w:ascii="Arial" w:hAnsi="Arial" w:cs="Arial"/>
          <w:color w:val="000000" w:themeColor="text1"/>
        </w:rPr>
        <w:t>to support IDR assessment within the sub-panels</w:t>
      </w:r>
      <w:r w:rsidRPr="00B275A9">
        <w:rPr>
          <w:rFonts w:ascii="Arial" w:hAnsi="Arial" w:cs="Arial"/>
          <w:color w:val="000000" w:themeColor="text1"/>
        </w:rPr>
        <w:t>.</w:t>
      </w:r>
      <w:r w:rsidR="00B01923">
        <w:rPr>
          <w:rFonts w:ascii="Arial" w:hAnsi="Arial" w:cs="Arial"/>
          <w:color w:val="000000" w:themeColor="text1"/>
        </w:rPr>
        <w:t xml:space="preserve"> </w:t>
      </w:r>
      <w:r w:rsidR="001F1BB3">
        <w:rPr>
          <w:rFonts w:ascii="Arial" w:hAnsi="Arial" w:cs="Arial"/>
          <w:color w:val="000000" w:themeColor="text1"/>
        </w:rPr>
        <w:t>It was agreed that</w:t>
      </w:r>
      <w:r w:rsidR="00B8558E">
        <w:rPr>
          <w:rFonts w:ascii="Arial" w:hAnsi="Arial" w:cs="Arial"/>
          <w:color w:val="000000" w:themeColor="text1"/>
        </w:rPr>
        <w:t xml:space="preserve"> </w:t>
      </w:r>
      <w:r w:rsidR="00315C96">
        <w:rPr>
          <w:rFonts w:ascii="Arial" w:hAnsi="Arial" w:cs="Arial"/>
          <w:color w:val="000000" w:themeColor="text1"/>
        </w:rPr>
        <w:t xml:space="preserve">a further meeting </w:t>
      </w:r>
      <w:r w:rsidR="001F1BB3">
        <w:rPr>
          <w:rFonts w:ascii="Arial" w:hAnsi="Arial" w:cs="Arial"/>
          <w:color w:val="000000" w:themeColor="text1"/>
        </w:rPr>
        <w:t>of</w:t>
      </w:r>
      <w:r w:rsidR="001C0825">
        <w:rPr>
          <w:rFonts w:ascii="Arial" w:hAnsi="Arial" w:cs="Arial"/>
          <w:color w:val="000000" w:themeColor="text1"/>
        </w:rPr>
        <w:t xml:space="preserve"> </w:t>
      </w:r>
      <w:r w:rsidR="001F1BB3">
        <w:rPr>
          <w:rFonts w:ascii="Arial" w:hAnsi="Arial" w:cs="Arial"/>
          <w:color w:val="000000" w:themeColor="text1"/>
        </w:rPr>
        <w:t>the network</w:t>
      </w:r>
      <w:r w:rsidR="00CC5894">
        <w:rPr>
          <w:rFonts w:ascii="Arial" w:hAnsi="Arial" w:cs="Arial"/>
          <w:color w:val="000000" w:themeColor="text1"/>
        </w:rPr>
        <w:t xml:space="preserve">, including IDAP members, </w:t>
      </w:r>
      <w:r w:rsidR="001F1BB3">
        <w:rPr>
          <w:rFonts w:ascii="Arial" w:hAnsi="Arial" w:cs="Arial"/>
          <w:color w:val="000000" w:themeColor="text1"/>
        </w:rPr>
        <w:t xml:space="preserve">should be held </w:t>
      </w:r>
      <w:r w:rsidR="00B8558E">
        <w:rPr>
          <w:rFonts w:ascii="Arial" w:hAnsi="Arial" w:cs="Arial"/>
          <w:color w:val="000000" w:themeColor="text1"/>
        </w:rPr>
        <w:t xml:space="preserve">before the sub-panels reconvene in 2020 </w:t>
      </w:r>
      <w:r w:rsidR="00315C96">
        <w:rPr>
          <w:rFonts w:ascii="Arial" w:hAnsi="Arial" w:cs="Arial"/>
          <w:color w:val="000000" w:themeColor="text1"/>
        </w:rPr>
        <w:t xml:space="preserve">to </w:t>
      </w:r>
      <w:r w:rsidR="001F1BB3">
        <w:rPr>
          <w:rFonts w:ascii="Arial" w:hAnsi="Arial" w:cs="Arial"/>
          <w:color w:val="000000" w:themeColor="text1"/>
        </w:rPr>
        <w:t>develop</w:t>
      </w:r>
      <w:r w:rsidR="00B8558E">
        <w:rPr>
          <w:rFonts w:ascii="Arial" w:hAnsi="Arial" w:cs="Arial"/>
          <w:color w:val="000000" w:themeColor="text1"/>
        </w:rPr>
        <w:t xml:space="preserve"> this briefing.</w:t>
      </w:r>
    </w:p>
    <w:p w14:paraId="1BE2FA85" w14:textId="77777777" w:rsidR="00D20AD6" w:rsidRPr="00590A34" w:rsidRDefault="00D20AD6" w:rsidP="007B29A2">
      <w:pPr>
        <w:spacing w:after="0" w:line="300" w:lineRule="atLeast"/>
        <w:rPr>
          <w:rFonts w:ascii="Arial" w:hAnsi="Arial" w:cs="Arial"/>
          <w:i/>
          <w:color w:val="000000" w:themeColor="text1"/>
        </w:rPr>
      </w:pPr>
    </w:p>
    <w:p w14:paraId="755CA20E" w14:textId="270523ED" w:rsidR="003F6AE9" w:rsidRPr="008A4C66" w:rsidRDefault="003F6AE9" w:rsidP="0034062C">
      <w:pPr>
        <w:pStyle w:val="Heading2"/>
        <w:rPr>
          <w:rFonts w:ascii="Arial" w:eastAsia="Times New Roman" w:hAnsi="Arial" w:cs="Arial"/>
          <w:b/>
          <w:color w:val="000000" w:themeColor="text1"/>
          <w:sz w:val="21"/>
          <w:szCs w:val="21"/>
          <w:lang w:eastAsia="en-GB"/>
        </w:rPr>
      </w:pPr>
      <w:bookmarkStart w:id="20" w:name="_Toc3200581"/>
      <w:r w:rsidRPr="008A4C66">
        <w:rPr>
          <w:rFonts w:ascii="Arial" w:eastAsia="Times New Roman" w:hAnsi="Arial" w:cs="Arial"/>
          <w:b/>
          <w:color w:val="000000" w:themeColor="text1"/>
          <w:sz w:val="21"/>
          <w:szCs w:val="21"/>
          <w:lang w:eastAsia="en-GB"/>
        </w:rPr>
        <w:t>IDR in environment submissions</w:t>
      </w:r>
      <w:bookmarkEnd w:id="20"/>
    </w:p>
    <w:p w14:paraId="7DC1DD2E" w14:textId="2EDCC232" w:rsidR="003F6AE9" w:rsidRPr="00AA1EB0" w:rsidRDefault="003F6AE9" w:rsidP="003A3BEE">
      <w:pPr>
        <w:pStyle w:val="ListParagraph"/>
        <w:numPr>
          <w:ilvl w:val="0"/>
          <w:numId w:val="2"/>
        </w:numPr>
        <w:spacing w:after="0" w:line="300" w:lineRule="atLeast"/>
        <w:ind w:left="0" w:firstLine="0"/>
        <w:rPr>
          <w:rFonts w:ascii="Arial" w:hAnsi="Arial" w:cs="Arial"/>
          <w:bCs/>
        </w:rPr>
      </w:pPr>
      <w:r w:rsidRPr="00AA1EB0">
        <w:rPr>
          <w:rFonts w:ascii="Arial" w:hAnsi="Arial" w:cs="Arial"/>
          <w:bCs/>
        </w:rPr>
        <w:t xml:space="preserve">IDAP was </w:t>
      </w:r>
      <w:r w:rsidR="00507B1F" w:rsidRPr="00AA1EB0">
        <w:rPr>
          <w:rFonts w:ascii="Arial" w:hAnsi="Arial" w:cs="Arial"/>
          <w:bCs/>
        </w:rPr>
        <w:t xml:space="preserve">asked </w:t>
      </w:r>
      <w:r w:rsidRPr="00AA1EB0">
        <w:rPr>
          <w:rFonts w:ascii="Arial" w:hAnsi="Arial" w:cs="Arial"/>
          <w:bCs/>
        </w:rPr>
        <w:t>to provide advice to the funding bodies on the inclusion of IDR</w:t>
      </w:r>
      <w:r w:rsidR="00507B1F" w:rsidRPr="00AA1EB0">
        <w:rPr>
          <w:rFonts w:ascii="Arial" w:hAnsi="Arial" w:cs="Arial"/>
          <w:bCs/>
        </w:rPr>
        <w:t>-</w:t>
      </w:r>
      <w:r w:rsidRPr="00AA1EB0">
        <w:rPr>
          <w:rFonts w:ascii="Arial" w:hAnsi="Arial" w:cs="Arial"/>
          <w:bCs/>
        </w:rPr>
        <w:t xml:space="preserve">specific information </w:t>
      </w:r>
      <w:r w:rsidR="00507B1F" w:rsidRPr="00AA1EB0">
        <w:rPr>
          <w:rFonts w:ascii="Arial" w:hAnsi="Arial" w:cs="Arial"/>
          <w:bCs/>
        </w:rPr>
        <w:t>in</w:t>
      </w:r>
      <w:r w:rsidRPr="00AA1EB0">
        <w:rPr>
          <w:rFonts w:ascii="Arial" w:hAnsi="Arial" w:cs="Arial"/>
          <w:bCs/>
        </w:rPr>
        <w:t xml:space="preserve"> the environment submission. This encompassed a range of considerations</w:t>
      </w:r>
      <w:r w:rsidR="00507B1F" w:rsidRPr="00AA1EB0">
        <w:rPr>
          <w:rFonts w:ascii="Arial" w:hAnsi="Arial" w:cs="Arial"/>
          <w:bCs/>
        </w:rPr>
        <w:t>:</w:t>
      </w:r>
      <w:r w:rsidRPr="00AA1EB0">
        <w:rPr>
          <w:rFonts w:ascii="Arial" w:hAnsi="Arial" w:cs="Arial"/>
          <w:bCs/>
        </w:rPr>
        <w:t xml:space="preserve"> </w:t>
      </w:r>
      <w:r w:rsidR="00507B1F" w:rsidRPr="00AA1EB0">
        <w:rPr>
          <w:rFonts w:ascii="Arial" w:hAnsi="Arial" w:cs="Arial"/>
          <w:bCs/>
        </w:rPr>
        <w:t xml:space="preserve">requesting </w:t>
      </w:r>
      <w:r w:rsidRPr="00AA1EB0">
        <w:rPr>
          <w:rFonts w:ascii="Arial" w:hAnsi="Arial" w:cs="Arial"/>
          <w:bCs/>
        </w:rPr>
        <w:t xml:space="preserve">IDR information in the </w:t>
      </w:r>
      <w:r w:rsidR="00726776" w:rsidRPr="00AA1EB0">
        <w:rPr>
          <w:rFonts w:ascii="Arial" w:hAnsi="Arial" w:cs="Arial"/>
          <w:bCs/>
        </w:rPr>
        <w:t>unit-</w:t>
      </w:r>
      <w:r w:rsidRPr="00AA1EB0">
        <w:rPr>
          <w:rFonts w:ascii="Arial" w:hAnsi="Arial" w:cs="Arial"/>
          <w:bCs/>
        </w:rPr>
        <w:t>level template</w:t>
      </w:r>
      <w:r w:rsidR="00507B1F" w:rsidRPr="00AA1EB0">
        <w:rPr>
          <w:rFonts w:ascii="Arial" w:hAnsi="Arial" w:cs="Arial"/>
          <w:bCs/>
        </w:rPr>
        <w:t>; providing</w:t>
      </w:r>
      <w:r w:rsidRPr="00AA1EB0">
        <w:rPr>
          <w:rFonts w:ascii="Arial" w:hAnsi="Arial" w:cs="Arial"/>
          <w:bCs/>
        </w:rPr>
        <w:t xml:space="preserve"> recommended indicators for interdisciplinarity</w:t>
      </w:r>
      <w:r w:rsidR="00507B1F" w:rsidRPr="00AA1EB0">
        <w:rPr>
          <w:rFonts w:ascii="Arial" w:hAnsi="Arial" w:cs="Arial"/>
          <w:bCs/>
        </w:rPr>
        <w:t>;</w:t>
      </w:r>
      <w:r w:rsidRPr="00AA1EB0">
        <w:rPr>
          <w:rFonts w:ascii="Arial" w:hAnsi="Arial" w:cs="Arial"/>
          <w:bCs/>
        </w:rPr>
        <w:t xml:space="preserve"> </w:t>
      </w:r>
      <w:r w:rsidR="00734B61" w:rsidRPr="00AA1EB0">
        <w:rPr>
          <w:rFonts w:ascii="Arial" w:hAnsi="Arial" w:cs="Arial"/>
          <w:bCs/>
        </w:rPr>
        <w:t xml:space="preserve">and </w:t>
      </w:r>
      <w:r w:rsidR="00507B1F" w:rsidRPr="00AA1EB0">
        <w:rPr>
          <w:rFonts w:ascii="Arial" w:hAnsi="Arial" w:cs="Arial"/>
          <w:bCs/>
        </w:rPr>
        <w:t>requesting</w:t>
      </w:r>
      <w:r w:rsidR="00734B61" w:rsidRPr="00AA1EB0">
        <w:rPr>
          <w:rFonts w:ascii="Arial" w:hAnsi="Arial" w:cs="Arial"/>
          <w:bCs/>
        </w:rPr>
        <w:t xml:space="preserve"> IDR information in the institution-level environment submission and institution</w:t>
      </w:r>
      <w:r w:rsidR="00507B1F" w:rsidRPr="00AA1EB0">
        <w:rPr>
          <w:rFonts w:ascii="Arial" w:hAnsi="Arial" w:cs="Arial"/>
          <w:bCs/>
        </w:rPr>
        <w:t>-</w:t>
      </w:r>
      <w:r w:rsidR="00734B61" w:rsidRPr="00AA1EB0">
        <w:rPr>
          <w:rFonts w:ascii="Arial" w:hAnsi="Arial" w:cs="Arial"/>
          <w:bCs/>
        </w:rPr>
        <w:t>level impact case studies.</w:t>
      </w:r>
      <w:r w:rsidRPr="00AA1EB0">
        <w:rPr>
          <w:rFonts w:ascii="Arial" w:hAnsi="Arial" w:cs="Arial"/>
          <w:bCs/>
        </w:rPr>
        <w:t xml:space="preserve"> </w:t>
      </w:r>
    </w:p>
    <w:p w14:paraId="72270A9B" w14:textId="77777777" w:rsidR="0055615F" w:rsidRDefault="0055615F" w:rsidP="007B29A2">
      <w:pPr>
        <w:spacing w:after="0" w:line="300" w:lineRule="atLeast"/>
        <w:ind w:firstLine="360"/>
        <w:rPr>
          <w:rFonts w:ascii="Arial" w:hAnsi="Arial" w:cs="Arial"/>
          <w:b/>
          <w:bCs/>
        </w:rPr>
      </w:pPr>
    </w:p>
    <w:p w14:paraId="50B56F83" w14:textId="2F34954C" w:rsidR="00487D18" w:rsidRPr="008A4C66" w:rsidRDefault="00726776" w:rsidP="008A4C66">
      <w:pPr>
        <w:pStyle w:val="Heading2"/>
        <w:rPr>
          <w:rFonts w:ascii="Arial" w:eastAsia="Times New Roman" w:hAnsi="Arial" w:cs="Arial"/>
          <w:b/>
          <w:color w:val="000000" w:themeColor="text1"/>
          <w:sz w:val="21"/>
          <w:szCs w:val="21"/>
          <w:lang w:eastAsia="en-GB"/>
        </w:rPr>
      </w:pPr>
      <w:bookmarkStart w:id="21" w:name="_Toc3200582"/>
      <w:r w:rsidRPr="008A4C66">
        <w:rPr>
          <w:rFonts w:ascii="Arial" w:eastAsia="Times New Roman" w:hAnsi="Arial" w:cs="Arial"/>
          <w:b/>
          <w:color w:val="000000" w:themeColor="text1"/>
          <w:sz w:val="21"/>
          <w:szCs w:val="21"/>
          <w:lang w:eastAsia="en-GB"/>
        </w:rPr>
        <w:t>Unit-</w:t>
      </w:r>
      <w:r w:rsidR="00487D18" w:rsidRPr="008A4C66">
        <w:rPr>
          <w:rFonts w:ascii="Arial" w:eastAsia="Times New Roman" w:hAnsi="Arial" w:cs="Arial"/>
          <w:b/>
          <w:color w:val="000000" w:themeColor="text1"/>
          <w:sz w:val="21"/>
          <w:szCs w:val="21"/>
          <w:lang w:eastAsia="en-GB"/>
        </w:rPr>
        <w:t>level environment</w:t>
      </w:r>
      <w:bookmarkEnd w:id="21"/>
    </w:p>
    <w:p w14:paraId="5B83E3EF" w14:textId="0CE77129" w:rsidR="00C821A6" w:rsidRPr="00AA1EB0" w:rsidRDefault="00507B1F" w:rsidP="003A3BEE">
      <w:pPr>
        <w:numPr>
          <w:ilvl w:val="0"/>
          <w:numId w:val="2"/>
        </w:numPr>
        <w:spacing w:after="0" w:line="300" w:lineRule="atLeast"/>
        <w:ind w:left="0" w:firstLine="0"/>
        <w:contextualSpacing/>
        <w:rPr>
          <w:rFonts w:ascii="Arial" w:hAnsi="Arial" w:cs="Arial"/>
        </w:rPr>
      </w:pPr>
      <w:r w:rsidRPr="00AA1EB0">
        <w:rPr>
          <w:rFonts w:ascii="Arial" w:hAnsi="Arial" w:cs="Arial"/>
        </w:rPr>
        <w:t>I</w:t>
      </w:r>
      <w:r w:rsidR="00C821A6" w:rsidRPr="00AA1EB0">
        <w:rPr>
          <w:rFonts w:ascii="Arial" w:hAnsi="Arial" w:cs="Arial"/>
        </w:rPr>
        <w:t>t was noted that there had been wide support through consultation for the inclusion of IDR-relevant information within the environment submission</w:t>
      </w:r>
      <w:r w:rsidRPr="00AA1EB0">
        <w:rPr>
          <w:rFonts w:ascii="Arial" w:hAnsi="Arial" w:cs="Arial"/>
        </w:rPr>
        <w:t xml:space="preserve"> and the panel was invited to comment on the inclusion of an IDR section within the unit-level environment template.</w:t>
      </w:r>
      <w:r w:rsidR="00C821A6" w:rsidRPr="00AA1EB0">
        <w:rPr>
          <w:rFonts w:ascii="Arial" w:hAnsi="Arial" w:cs="Arial"/>
        </w:rPr>
        <w:t xml:space="preserve"> In </w:t>
      </w:r>
      <w:r w:rsidR="00726776" w:rsidRPr="00AA1EB0">
        <w:rPr>
          <w:rFonts w:ascii="Arial" w:hAnsi="Arial" w:cs="Arial"/>
        </w:rPr>
        <w:t>developing</w:t>
      </w:r>
      <w:r w:rsidR="00C821A6" w:rsidRPr="00AA1EB0">
        <w:rPr>
          <w:rFonts w:ascii="Arial" w:hAnsi="Arial" w:cs="Arial"/>
        </w:rPr>
        <w:t xml:space="preserve"> our advice we took into account the potential benefits </w:t>
      </w:r>
      <w:r w:rsidRPr="00AA1EB0">
        <w:rPr>
          <w:rFonts w:ascii="Arial" w:hAnsi="Arial" w:cs="Arial"/>
        </w:rPr>
        <w:t>of offering</w:t>
      </w:r>
      <w:r w:rsidR="00C821A6" w:rsidRPr="00AA1EB0">
        <w:rPr>
          <w:rFonts w:ascii="Arial" w:hAnsi="Arial" w:cs="Arial"/>
        </w:rPr>
        <w:t xml:space="preserve"> the submitting unit </w:t>
      </w:r>
      <w:r w:rsidRPr="00AA1EB0">
        <w:rPr>
          <w:rFonts w:ascii="Arial" w:hAnsi="Arial" w:cs="Arial"/>
        </w:rPr>
        <w:t xml:space="preserve">the opportunity to showcase their </w:t>
      </w:r>
      <w:r w:rsidR="00C821A6" w:rsidRPr="00AA1EB0">
        <w:rPr>
          <w:rFonts w:ascii="Arial" w:hAnsi="Arial" w:cs="Arial"/>
        </w:rPr>
        <w:t xml:space="preserve">resources and approaches to support IDR, </w:t>
      </w:r>
      <w:r w:rsidR="00726776" w:rsidRPr="00AA1EB0">
        <w:rPr>
          <w:rFonts w:ascii="Arial" w:hAnsi="Arial" w:cs="Arial"/>
        </w:rPr>
        <w:t>which may</w:t>
      </w:r>
      <w:r w:rsidR="00C821A6" w:rsidRPr="00AA1EB0">
        <w:rPr>
          <w:rFonts w:ascii="Arial" w:hAnsi="Arial" w:cs="Arial"/>
        </w:rPr>
        <w:t xml:space="preserve"> not be captured elsewhere in the submission. </w:t>
      </w:r>
    </w:p>
    <w:p w14:paraId="6DCC1E84" w14:textId="77777777" w:rsidR="00C821A6" w:rsidRPr="00AA1EB0" w:rsidRDefault="00C821A6" w:rsidP="003A3BEE">
      <w:pPr>
        <w:spacing w:after="0" w:line="300" w:lineRule="atLeast"/>
        <w:contextualSpacing/>
        <w:rPr>
          <w:rFonts w:ascii="Arial" w:hAnsi="Arial" w:cs="Arial"/>
        </w:rPr>
      </w:pPr>
    </w:p>
    <w:p w14:paraId="4ABB8DDC" w14:textId="0B748E6C" w:rsidR="00781F92" w:rsidRPr="00AA1EB0" w:rsidRDefault="00C821A6" w:rsidP="003A3BEE">
      <w:pPr>
        <w:numPr>
          <w:ilvl w:val="0"/>
          <w:numId w:val="2"/>
        </w:numPr>
        <w:spacing w:after="0" w:line="300" w:lineRule="atLeast"/>
        <w:ind w:left="0" w:firstLine="0"/>
        <w:contextualSpacing/>
        <w:rPr>
          <w:rFonts w:ascii="Arial" w:hAnsi="Arial" w:cs="Arial"/>
        </w:rPr>
      </w:pPr>
      <w:r w:rsidRPr="00AA1EB0">
        <w:rPr>
          <w:rFonts w:ascii="Arial" w:hAnsi="Arial" w:cs="Arial"/>
        </w:rPr>
        <w:t xml:space="preserve">On this basis we </w:t>
      </w:r>
      <w:r w:rsidR="00507B1F" w:rsidRPr="00AA1EB0">
        <w:rPr>
          <w:rFonts w:ascii="Arial" w:hAnsi="Arial" w:cs="Arial"/>
        </w:rPr>
        <w:t>supported</w:t>
      </w:r>
      <w:r w:rsidRPr="00AA1EB0">
        <w:rPr>
          <w:rFonts w:ascii="Arial" w:hAnsi="Arial" w:cs="Arial"/>
        </w:rPr>
        <w:t xml:space="preserve"> the proposal to include IDR</w:t>
      </w:r>
      <w:r w:rsidR="00726776" w:rsidRPr="00AA1EB0">
        <w:rPr>
          <w:rFonts w:ascii="Arial" w:hAnsi="Arial" w:cs="Arial"/>
        </w:rPr>
        <w:t xml:space="preserve"> support mechanisms explicitly </w:t>
      </w:r>
      <w:r w:rsidRPr="00AA1EB0">
        <w:rPr>
          <w:rFonts w:ascii="Arial" w:hAnsi="Arial" w:cs="Arial"/>
        </w:rPr>
        <w:t>within the template</w:t>
      </w:r>
      <w:r w:rsidR="00726776" w:rsidRPr="00AA1EB0">
        <w:rPr>
          <w:rFonts w:ascii="Arial" w:hAnsi="Arial" w:cs="Arial"/>
        </w:rPr>
        <w:t>. H</w:t>
      </w:r>
      <w:r w:rsidRPr="00AA1EB0">
        <w:rPr>
          <w:rFonts w:ascii="Arial" w:hAnsi="Arial" w:cs="Arial"/>
        </w:rPr>
        <w:t>owever</w:t>
      </w:r>
      <w:r w:rsidR="00726776" w:rsidRPr="00AA1EB0">
        <w:rPr>
          <w:rFonts w:ascii="Arial" w:hAnsi="Arial" w:cs="Arial"/>
        </w:rPr>
        <w:t>, we</w:t>
      </w:r>
      <w:r w:rsidRPr="00AA1EB0">
        <w:rPr>
          <w:rFonts w:ascii="Arial" w:hAnsi="Arial" w:cs="Arial"/>
        </w:rPr>
        <w:t xml:space="preserve"> also advis</w:t>
      </w:r>
      <w:r w:rsidR="00726776" w:rsidRPr="00AA1EB0">
        <w:rPr>
          <w:rFonts w:ascii="Arial" w:hAnsi="Arial" w:cs="Arial"/>
        </w:rPr>
        <w:t>ed</w:t>
      </w:r>
      <w:r w:rsidRPr="00AA1EB0">
        <w:rPr>
          <w:rFonts w:ascii="Arial" w:hAnsi="Arial" w:cs="Arial"/>
        </w:rPr>
        <w:t xml:space="preserve"> that this information should not be considered mandatory and</w:t>
      </w:r>
      <w:r w:rsidR="00507B1F" w:rsidRPr="00AA1EB0">
        <w:rPr>
          <w:rFonts w:ascii="Arial" w:hAnsi="Arial" w:cs="Arial"/>
        </w:rPr>
        <w:t xml:space="preserve"> noted that its</w:t>
      </w:r>
      <w:r w:rsidRPr="00AA1EB0">
        <w:rPr>
          <w:rFonts w:ascii="Arial" w:hAnsi="Arial" w:cs="Arial"/>
        </w:rPr>
        <w:t xml:space="preserve"> inclusion would depend on the context of the submitting unit. </w:t>
      </w:r>
      <w:r w:rsidR="00EA5A9D" w:rsidRPr="00AA1EB0">
        <w:rPr>
          <w:rFonts w:ascii="Arial" w:hAnsi="Arial" w:cs="Arial"/>
        </w:rPr>
        <w:t xml:space="preserve">We further advised that clear </w:t>
      </w:r>
      <w:r w:rsidR="00507B1F" w:rsidRPr="00AA1EB0">
        <w:rPr>
          <w:rFonts w:ascii="Arial" w:hAnsi="Arial" w:cs="Arial"/>
        </w:rPr>
        <w:t xml:space="preserve">guidance </w:t>
      </w:r>
      <w:r w:rsidR="00EA5A9D" w:rsidRPr="00AA1EB0">
        <w:rPr>
          <w:rFonts w:ascii="Arial" w:hAnsi="Arial" w:cs="Arial"/>
        </w:rPr>
        <w:t xml:space="preserve">would be needed to reassure institutions that </w:t>
      </w:r>
      <w:r w:rsidRPr="00AA1EB0">
        <w:rPr>
          <w:rFonts w:ascii="Arial" w:hAnsi="Arial" w:cs="Arial"/>
        </w:rPr>
        <w:t xml:space="preserve">units </w:t>
      </w:r>
      <w:r w:rsidR="00EA5A9D" w:rsidRPr="00AA1EB0">
        <w:rPr>
          <w:rFonts w:ascii="Arial" w:hAnsi="Arial" w:cs="Arial"/>
        </w:rPr>
        <w:t>would not be penali</w:t>
      </w:r>
      <w:r w:rsidR="00507B1F" w:rsidRPr="00AA1EB0">
        <w:rPr>
          <w:rFonts w:ascii="Arial" w:hAnsi="Arial" w:cs="Arial"/>
        </w:rPr>
        <w:t>s</w:t>
      </w:r>
      <w:r w:rsidR="00EA5A9D" w:rsidRPr="00AA1EB0">
        <w:rPr>
          <w:rFonts w:ascii="Arial" w:hAnsi="Arial" w:cs="Arial"/>
        </w:rPr>
        <w:t>ed where</w:t>
      </w:r>
      <w:r w:rsidRPr="00AA1EB0">
        <w:rPr>
          <w:rFonts w:ascii="Arial" w:hAnsi="Arial" w:cs="Arial"/>
        </w:rPr>
        <w:t xml:space="preserve"> </w:t>
      </w:r>
      <w:r w:rsidR="00EA5A9D" w:rsidRPr="00AA1EB0">
        <w:rPr>
          <w:rFonts w:ascii="Arial" w:hAnsi="Arial" w:cs="Arial"/>
        </w:rPr>
        <w:t>inclusion of this information</w:t>
      </w:r>
      <w:r w:rsidRPr="00AA1EB0">
        <w:rPr>
          <w:rFonts w:ascii="Arial" w:hAnsi="Arial" w:cs="Arial"/>
        </w:rPr>
        <w:t xml:space="preserve"> would not be appropriate.</w:t>
      </w:r>
    </w:p>
    <w:p w14:paraId="183E1DF2" w14:textId="77777777" w:rsidR="00C821A6" w:rsidRPr="00AA1EB0" w:rsidRDefault="00C821A6" w:rsidP="007B29A2">
      <w:pPr>
        <w:spacing w:after="0" w:line="300" w:lineRule="atLeast"/>
        <w:ind w:left="360"/>
        <w:contextualSpacing/>
        <w:rPr>
          <w:rFonts w:ascii="Arial" w:hAnsi="Arial" w:cs="Arial"/>
        </w:rPr>
      </w:pPr>
    </w:p>
    <w:p w14:paraId="220F8B68" w14:textId="09D2B87A" w:rsidR="00781F92" w:rsidRPr="008A4C66" w:rsidRDefault="00781F92" w:rsidP="008A4C66">
      <w:pPr>
        <w:pStyle w:val="Heading2"/>
        <w:rPr>
          <w:rFonts w:ascii="Arial" w:eastAsia="Times New Roman" w:hAnsi="Arial" w:cs="Arial"/>
          <w:b/>
          <w:color w:val="000000" w:themeColor="text1"/>
          <w:sz w:val="21"/>
          <w:szCs w:val="21"/>
          <w:lang w:eastAsia="en-GB"/>
        </w:rPr>
      </w:pPr>
      <w:bookmarkStart w:id="22" w:name="_Toc3200583"/>
      <w:r w:rsidRPr="008A4C66">
        <w:rPr>
          <w:rFonts w:ascii="Arial" w:eastAsia="Times New Roman" w:hAnsi="Arial" w:cs="Arial"/>
          <w:b/>
          <w:color w:val="000000" w:themeColor="text1"/>
          <w:sz w:val="21"/>
          <w:szCs w:val="21"/>
          <w:lang w:eastAsia="en-GB"/>
        </w:rPr>
        <w:t>IDR indicators for</w:t>
      </w:r>
      <w:r w:rsidR="002A47FC" w:rsidRPr="008A4C66">
        <w:rPr>
          <w:rFonts w:ascii="Arial" w:eastAsia="Times New Roman" w:hAnsi="Arial" w:cs="Arial"/>
          <w:b/>
          <w:color w:val="000000" w:themeColor="text1"/>
          <w:sz w:val="21"/>
          <w:szCs w:val="21"/>
          <w:lang w:eastAsia="en-GB"/>
        </w:rPr>
        <w:t xml:space="preserve"> Environment</w:t>
      </w:r>
      <w:bookmarkEnd w:id="22"/>
      <w:r w:rsidR="002A47FC" w:rsidRPr="008A4C66">
        <w:rPr>
          <w:rFonts w:ascii="Arial" w:eastAsia="Times New Roman" w:hAnsi="Arial" w:cs="Arial"/>
          <w:b/>
          <w:color w:val="000000" w:themeColor="text1"/>
          <w:sz w:val="21"/>
          <w:szCs w:val="21"/>
          <w:lang w:eastAsia="en-GB"/>
        </w:rPr>
        <w:t xml:space="preserve"> </w:t>
      </w:r>
      <w:r w:rsidRPr="008A4C66">
        <w:rPr>
          <w:rFonts w:ascii="Arial" w:eastAsia="Times New Roman" w:hAnsi="Arial" w:cs="Arial"/>
          <w:b/>
          <w:color w:val="000000" w:themeColor="text1"/>
          <w:sz w:val="21"/>
          <w:szCs w:val="21"/>
          <w:lang w:eastAsia="en-GB"/>
        </w:rPr>
        <w:t xml:space="preserve"> </w:t>
      </w:r>
      <w:r w:rsidR="00487D18" w:rsidRPr="008A4C66">
        <w:rPr>
          <w:rFonts w:ascii="Arial" w:eastAsia="Times New Roman" w:hAnsi="Arial" w:cs="Arial"/>
          <w:b/>
          <w:color w:val="000000" w:themeColor="text1"/>
          <w:sz w:val="21"/>
          <w:szCs w:val="21"/>
          <w:lang w:eastAsia="en-GB"/>
        </w:rPr>
        <w:t xml:space="preserve"> </w:t>
      </w:r>
    </w:p>
    <w:p w14:paraId="02AFACD5" w14:textId="081AD249" w:rsidR="00487D18" w:rsidRPr="00AA1EB0" w:rsidRDefault="00487D18" w:rsidP="003A3BEE">
      <w:pPr>
        <w:numPr>
          <w:ilvl w:val="0"/>
          <w:numId w:val="2"/>
        </w:numPr>
        <w:spacing w:after="0" w:line="300" w:lineRule="atLeast"/>
        <w:ind w:left="0" w:firstLine="0"/>
        <w:contextualSpacing/>
        <w:rPr>
          <w:rFonts w:ascii="Arial" w:hAnsi="Arial" w:cs="Arial"/>
          <w:color w:val="000000" w:themeColor="text1"/>
        </w:rPr>
      </w:pPr>
      <w:r w:rsidRPr="00AA1EB0">
        <w:rPr>
          <w:rFonts w:ascii="Arial" w:hAnsi="Arial" w:cs="Arial"/>
          <w:color w:val="000000" w:themeColor="text1"/>
        </w:rPr>
        <w:t xml:space="preserve">One of the Stern review’s broader recommendations was the development of a common approach to </w:t>
      </w:r>
      <w:r w:rsidR="00271AEC" w:rsidRPr="00AA1EB0">
        <w:rPr>
          <w:rFonts w:ascii="Arial" w:hAnsi="Arial" w:cs="Arial"/>
          <w:color w:val="000000" w:themeColor="text1"/>
        </w:rPr>
        <w:t xml:space="preserve">the </w:t>
      </w:r>
      <w:r w:rsidRPr="00AA1EB0">
        <w:rPr>
          <w:rFonts w:ascii="Arial" w:hAnsi="Arial" w:cs="Arial"/>
          <w:color w:val="000000" w:themeColor="text1"/>
        </w:rPr>
        <w:t xml:space="preserve">use of metrics within REF 2021. </w:t>
      </w:r>
      <w:r w:rsidR="001A409C" w:rsidRPr="00AA1EB0">
        <w:rPr>
          <w:rFonts w:ascii="Arial" w:hAnsi="Arial" w:cs="Arial"/>
          <w:color w:val="000000" w:themeColor="text1"/>
        </w:rPr>
        <w:t>T</w:t>
      </w:r>
      <w:r w:rsidRPr="00AA1EB0">
        <w:rPr>
          <w:rFonts w:ascii="Arial" w:hAnsi="Arial" w:cs="Arial"/>
          <w:color w:val="000000" w:themeColor="text1"/>
        </w:rPr>
        <w:t xml:space="preserve">o take this recommendation forward, the funding bodies </w:t>
      </w:r>
      <w:r w:rsidR="00EA5A9D" w:rsidRPr="00AA1EB0">
        <w:rPr>
          <w:rFonts w:ascii="Arial" w:hAnsi="Arial" w:cs="Arial"/>
          <w:color w:val="000000" w:themeColor="text1"/>
        </w:rPr>
        <w:t>worked with</w:t>
      </w:r>
      <w:r w:rsidRPr="00AA1EB0">
        <w:rPr>
          <w:rFonts w:ascii="Arial" w:hAnsi="Arial" w:cs="Arial"/>
          <w:color w:val="000000" w:themeColor="text1"/>
        </w:rPr>
        <w:t xml:space="preserve"> the Forum for Responsible Research Metrics (FFRRM)</w:t>
      </w:r>
      <w:r w:rsidR="00EA5A9D" w:rsidRPr="00AA1EB0">
        <w:rPr>
          <w:rFonts w:ascii="Arial" w:hAnsi="Arial" w:cs="Arial"/>
          <w:color w:val="000000" w:themeColor="text1"/>
        </w:rPr>
        <w:t xml:space="preserve"> to</w:t>
      </w:r>
      <w:r w:rsidRPr="00AA1EB0">
        <w:rPr>
          <w:rFonts w:ascii="Arial" w:hAnsi="Arial" w:cs="Arial"/>
          <w:color w:val="000000" w:themeColor="text1"/>
        </w:rPr>
        <w:t xml:space="preserve"> </w:t>
      </w:r>
      <w:r w:rsidR="00EA5A9D" w:rsidRPr="00AA1EB0">
        <w:rPr>
          <w:rFonts w:ascii="Arial" w:hAnsi="Arial" w:cs="Arial"/>
          <w:color w:val="000000" w:themeColor="text1"/>
        </w:rPr>
        <w:t>develop advice on the use of</w:t>
      </w:r>
      <w:r w:rsidRPr="00AA1EB0">
        <w:rPr>
          <w:rFonts w:ascii="Arial" w:hAnsi="Arial" w:cs="Arial"/>
          <w:color w:val="000000" w:themeColor="text1"/>
        </w:rPr>
        <w:t xml:space="preserve"> quantitative indicators within the </w:t>
      </w:r>
      <w:r w:rsidR="00EA5A9D" w:rsidRPr="00AA1EB0">
        <w:rPr>
          <w:rFonts w:ascii="Arial" w:hAnsi="Arial" w:cs="Arial"/>
          <w:color w:val="000000" w:themeColor="text1"/>
        </w:rPr>
        <w:t>e</w:t>
      </w:r>
      <w:r w:rsidRPr="00AA1EB0">
        <w:rPr>
          <w:rFonts w:ascii="Arial" w:hAnsi="Arial" w:cs="Arial"/>
          <w:color w:val="000000" w:themeColor="text1"/>
        </w:rPr>
        <w:t xml:space="preserve">nvironment </w:t>
      </w:r>
      <w:r w:rsidR="00EA5A9D" w:rsidRPr="00AA1EB0">
        <w:rPr>
          <w:rFonts w:ascii="Arial" w:hAnsi="Arial" w:cs="Arial"/>
          <w:color w:val="000000" w:themeColor="text1"/>
        </w:rPr>
        <w:t>element</w:t>
      </w:r>
      <w:r w:rsidRPr="00AA1EB0">
        <w:rPr>
          <w:rFonts w:ascii="Arial" w:hAnsi="Arial" w:cs="Arial"/>
          <w:color w:val="000000" w:themeColor="text1"/>
        </w:rPr>
        <w:t xml:space="preserve">, </w:t>
      </w:r>
      <w:r w:rsidR="00B35498" w:rsidRPr="00AA1EB0">
        <w:rPr>
          <w:rFonts w:ascii="Arial" w:hAnsi="Arial" w:cs="Arial"/>
          <w:color w:val="000000" w:themeColor="text1"/>
        </w:rPr>
        <w:t xml:space="preserve">at </w:t>
      </w:r>
      <w:r w:rsidRPr="00AA1EB0">
        <w:rPr>
          <w:rFonts w:ascii="Arial" w:hAnsi="Arial" w:cs="Arial"/>
          <w:color w:val="000000" w:themeColor="text1"/>
        </w:rPr>
        <w:t xml:space="preserve">both </w:t>
      </w:r>
      <w:r w:rsidR="00EA5A9D" w:rsidRPr="00AA1EB0">
        <w:rPr>
          <w:rFonts w:ascii="Arial" w:hAnsi="Arial" w:cs="Arial"/>
          <w:color w:val="000000" w:themeColor="text1"/>
        </w:rPr>
        <w:t xml:space="preserve">submitting unit </w:t>
      </w:r>
      <w:r w:rsidRPr="00AA1EB0">
        <w:rPr>
          <w:rFonts w:ascii="Arial" w:hAnsi="Arial" w:cs="Arial"/>
          <w:color w:val="000000" w:themeColor="text1"/>
        </w:rPr>
        <w:t xml:space="preserve">and institution level. </w:t>
      </w:r>
    </w:p>
    <w:p w14:paraId="288628B8" w14:textId="77777777" w:rsidR="004A0D95" w:rsidRPr="00AA1EB0" w:rsidRDefault="004A0D95" w:rsidP="003A3BEE">
      <w:pPr>
        <w:spacing w:after="0" w:line="300" w:lineRule="atLeast"/>
        <w:contextualSpacing/>
        <w:rPr>
          <w:rFonts w:ascii="Arial" w:hAnsi="Arial" w:cs="Arial"/>
          <w:color w:val="000000" w:themeColor="text1"/>
        </w:rPr>
      </w:pPr>
    </w:p>
    <w:p w14:paraId="3DD4DD4F" w14:textId="5AA63E01" w:rsidR="00943D5E" w:rsidRPr="00AA1EB0" w:rsidRDefault="001A409C" w:rsidP="003A3BEE">
      <w:pPr>
        <w:numPr>
          <w:ilvl w:val="0"/>
          <w:numId w:val="2"/>
        </w:numPr>
        <w:spacing w:after="0" w:line="300" w:lineRule="atLeast"/>
        <w:ind w:left="0" w:firstLine="0"/>
        <w:contextualSpacing/>
        <w:rPr>
          <w:rFonts w:ascii="Arial" w:hAnsi="Arial" w:cs="Arial"/>
          <w:color w:val="000000" w:themeColor="text1"/>
        </w:rPr>
      </w:pPr>
      <w:r w:rsidRPr="00AA1EB0">
        <w:rPr>
          <w:rFonts w:ascii="Arial" w:hAnsi="Arial" w:cs="Arial"/>
          <w:color w:val="000000" w:themeColor="text1"/>
        </w:rPr>
        <w:t xml:space="preserve">We </w:t>
      </w:r>
      <w:r w:rsidR="00487D18" w:rsidRPr="00AA1EB0">
        <w:rPr>
          <w:rFonts w:ascii="Arial" w:hAnsi="Arial" w:cs="Arial"/>
          <w:color w:val="000000" w:themeColor="text1"/>
        </w:rPr>
        <w:t xml:space="preserve">were </w:t>
      </w:r>
      <w:r w:rsidR="00EA5A9D" w:rsidRPr="00AA1EB0">
        <w:rPr>
          <w:rFonts w:ascii="Arial" w:hAnsi="Arial" w:cs="Arial"/>
          <w:color w:val="000000" w:themeColor="text1"/>
        </w:rPr>
        <w:t>invited</w:t>
      </w:r>
      <w:r w:rsidR="00487D18" w:rsidRPr="00AA1EB0">
        <w:rPr>
          <w:rFonts w:ascii="Arial" w:hAnsi="Arial" w:cs="Arial"/>
          <w:color w:val="000000" w:themeColor="text1"/>
        </w:rPr>
        <w:t xml:space="preserve"> to consider potential indicators </w:t>
      </w:r>
      <w:r w:rsidR="00EA5A9D" w:rsidRPr="00AA1EB0">
        <w:rPr>
          <w:rFonts w:ascii="Arial" w:hAnsi="Arial" w:cs="Arial"/>
          <w:color w:val="000000" w:themeColor="text1"/>
        </w:rPr>
        <w:t xml:space="preserve">relevant to </w:t>
      </w:r>
      <w:r w:rsidR="00487D18" w:rsidRPr="00AA1EB0">
        <w:rPr>
          <w:rFonts w:ascii="Arial" w:hAnsi="Arial" w:cs="Arial"/>
          <w:color w:val="000000" w:themeColor="text1"/>
        </w:rPr>
        <w:t>interdisciplinar</w:t>
      </w:r>
      <w:r w:rsidR="00EA5A9D" w:rsidRPr="00AA1EB0">
        <w:rPr>
          <w:rFonts w:ascii="Arial" w:hAnsi="Arial" w:cs="Arial"/>
          <w:color w:val="000000" w:themeColor="text1"/>
        </w:rPr>
        <w:t>y research and supporting mechanisms</w:t>
      </w:r>
      <w:r w:rsidR="00487D18" w:rsidRPr="00AA1EB0">
        <w:rPr>
          <w:rFonts w:ascii="Arial" w:hAnsi="Arial" w:cs="Arial"/>
          <w:color w:val="000000" w:themeColor="text1"/>
        </w:rPr>
        <w:t xml:space="preserve">, </w:t>
      </w:r>
      <w:r w:rsidR="00EA5A9D" w:rsidRPr="00AA1EB0">
        <w:rPr>
          <w:rFonts w:ascii="Arial" w:hAnsi="Arial" w:cs="Arial"/>
          <w:color w:val="000000" w:themeColor="text1"/>
        </w:rPr>
        <w:t>working with</w:t>
      </w:r>
      <w:r w:rsidR="00271AEC" w:rsidRPr="00AA1EB0">
        <w:rPr>
          <w:rFonts w:ascii="Arial" w:hAnsi="Arial" w:cs="Arial"/>
          <w:color w:val="000000" w:themeColor="text1"/>
        </w:rPr>
        <w:t xml:space="preserve"> </w:t>
      </w:r>
      <w:r w:rsidR="00487D18" w:rsidRPr="00AA1EB0">
        <w:rPr>
          <w:rFonts w:ascii="Arial" w:hAnsi="Arial" w:cs="Arial"/>
          <w:color w:val="000000" w:themeColor="text1"/>
        </w:rPr>
        <w:t xml:space="preserve">the FFRRM Environment working group. </w:t>
      </w:r>
      <w:r w:rsidR="009F793B">
        <w:rPr>
          <w:rFonts w:ascii="Arial" w:hAnsi="Arial" w:cs="Arial"/>
          <w:color w:val="000000" w:themeColor="text1"/>
        </w:rPr>
        <w:t>T</w:t>
      </w:r>
      <w:r w:rsidR="00524880">
        <w:rPr>
          <w:rFonts w:ascii="Arial" w:hAnsi="Arial" w:cs="Arial"/>
          <w:color w:val="000000" w:themeColor="text1"/>
        </w:rPr>
        <w:t>he working group chair</w:t>
      </w:r>
      <w:r w:rsidR="009F793B">
        <w:rPr>
          <w:rFonts w:ascii="Arial" w:hAnsi="Arial" w:cs="Arial"/>
          <w:color w:val="000000" w:themeColor="text1"/>
        </w:rPr>
        <w:t xml:space="preserve"> highlighted</w:t>
      </w:r>
      <w:r w:rsidR="00524880">
        <w:rPr>
          <w:rFonts w:ascii="Arial" w:hAnsi="Arial" w:cs="Arial"/>
          <w:color w:val="000000" w:themeColor="text1"/>
        </w:rPr>
        <w:t xml:space="preserve"> </w:t>
      </w:r>
      <w:r w:rsidR="00487D18" w:rsidRPr="00AA1EB0">
        <w:rPr>
          <w:rFonts w:ascii="Arial" w:hAnsi="Arial" w:cs="Arial"/>
          <w:color w:val="000000" w:themeColor="text1"/>
        </w:rPr>
        <w:t xml:space="preserve">that the purpose of the indicators </w:t>
      </w:r>
      <w:r w:rsidR="002A47FC" w:rsidRPr="00AA1EB0">
        <w:rPr>
          <w:rFonts w:ascii="Arial" w:hAnsi="Arial" w:cs="Arial"/>
          <w:color w:val="000000" w:themeColor="text1"/>
        </w:rPr>
        <w:t xml:space="preserve">would be to </w:t>
      </w:r>
      <w:r w:rsidR="00487D18" w:rsidRPr="00AA1EB0">
        <w:rPr>
          <w:rFonts w:ascii="Arial" w:hAnsi="Arial" w:cs="Arial"/>
          <w:color w:val="000000" w:themeColor="text1"/>
        </w:rPr>
        <w:t>evidence and support the narrative statement</w:t>
      </w:r>
      <w:r w:rsidR="003F6AE9" w:rsidRPr="00AA1EB0">
        <w:rPr>
          <w:rFonts w:ascii="Arial" w:hAnsi="Arial" w:cs="Arial"/>
          <w:color w:val="000000" w:themeColor="text1"/>
        </w:rPr>
        <w:t>.</w:t>
      </w:r>
      <w:r w:rsidR="00493948">
        <w:rPr>
          <w:rFonts w:ascii="Arial" w:hAnsi="Arial" w:cs="Arial"/>
          <w:color w:val="000000" w:themeColor="text1"/>
        </w:rPr>
        <w:t xml:space="preserve"> </w:t>
      </w:r>
      <w:r w:rsidR="00A4013D">
        <w:rPr>
          <w:rFonts w:ascii="Arial" w:hAnsi="Arial" w:cs="Arial"/>
          <w:color w:val="000000" w:themeColor="text1"/>
        </w:rPr>
        <w:t>In its advice to the REF</w:t>
      </w:r>
      <w:r w:rsidR="009F793B">
        <w:rPr>
          <w:rFonts w:ascii="Arial" w:hAnsi="Arial" w:cs="Arial"/>
          <w:color w:val="000000" w:themeColor="text1"/>
        </w:rPr>
        <w:t xml:space="preserve"> panels</w:t>
      </w:r>
      <w:r w:rsidR="00A4013D">
        <w:rPr>
          <w:rFonts w:ascii="Arial" w:hAnsi="Arial" w:cs="Arial"/>
          <w:color w:val="000000" w:themeColor="text1"/>
        </w:rPr>
        <w:t xml:space="preserve"> t</w:t>
      </w:r>
      <w:r w:rsidR="00493948">
        <w:rPr>
          <w:rFonts w:ascii="Arial" w:hAnsi="Arial" w:cs="Arial"/>
          <w:color w:val="000000" w:themeColor="text1"/>
        </w:rPr>
        <w:t xml:space="preserve">he working group </w:t>
      </w:r>
      <w:r w:rsidR="00A4013D">
        <w:rPr>
          <w:rFonts w:ascii="Arial" w:hAnsi="Arial" w:cs="Arial"/>
          <w:color w:val="000000" w:themeColor="text1"/>
        </w:rPr>
        <w:t xml:space="preserve">set out a number of </w:t>
      </w:r>
      <w:r w:rsidR="00493948">
        <w:rPr>
          <w:rFonts w:ascii="Arial" w:hAnsi="Arial" w:cs="Arial"/>
          <w:color w:val="000000" w:themeColor="text1"/>
        </w:rPr>
        <w:t xml:space="preserve">underpinning principles </w:t>
      </w:r>
      <w:r w:rsidR="00A4013D">
        <w:rPr>
          <w:rFonts w:ascii="Arial" w:hAnsi="Arial" w:cs="Arial"/>
          <w:color w:val="000000" w:themeColor="text1"/>
        </w:rPr>
        <w:t xml:space="preserve">to which </w:t>
      </w:r>
      <w:r w:rsidR="009F793B">
        <w:rPr>
          <w:rFonts w:ascii="Arial" w:hAnsi="Arial" w:cs="Arial"/>
          <w:color w:val="000000" w:themeColor="text1"/>
        </w:rPr>
        <w:t>any</w:t>
      </w:r>
      <w:r w:rsidR="00A4013D">
        <w:rPr>
          <w:rFonts w:ascii="Arial" w:hAnsi="Arial" w:cs="Arial"/>
          <w:color w:val="000000" w:themeColor="text1"/>
        </w:rPr>
        <w:t xml:space="preserve"> indicators propose</w:t>
      </w:r>
      <w:r w:rsidR="009F793B">
        <w:rPr>
          <w:rFonts w:ascii="Arial" w:hAnsi="Arial" w:cs="Arial"/>
          <w:color w:val="000000" w:themeColor="text1"/>
        </w:rPr>
        <w:t>d for use in the environment statement</w:t>
      </w:r>
      <w:r w:rsidR="00A4013D">
        <w:rPr>
          <w:rFonts w:ascii="Arial" w:hAnsi="Arial" w:cs="Arial"/>
          <w:color w:val="000000" w:themeColor="text1"/>
        </w:rPr>
        <w:t xml:space="preserve"> should conform, including the principle that indictors should neither advantage nor disadvantage IDR</w:t>
      </w:r>
      <w:r w:rsidR="009F793B">
        <w:rPr>
          <w:rStyle w:val="FootnoteReference"/>
          <w:rFonts w:ascii="Arial" w:hAnsi="Arial" w:cs="Arial"/>
          <w:color w:val="000000" w:themeColor="text1"/>
        </w:rPr>
        <w:footnoteReference w:id="13"/>
      </w:r>
      <w:r w:rsidR="00A4013D">
        <w:rPr>
          <w:rFonts w:ascii="Arial" w:hAnsi="Arial" w:cs="Arial"/>
          <w:color w:val="000000" w:themeColor="text1"/>
        </w:rPr>
        <w:t xml:space="preserve">. </w:t>
      </w:r>
    </w:p>
    <w:p w14:paraId="2A3AEE9A" w14:textId="77777777" w:rsidR="00943D5E" w:rsidRPr="00AA1EB0" w:rsidRDefault="00943D5E" w:rsidP="003A3BEE">
      <w:pPr>
        <w:spacing w:after="0" w:line="300" w:lineRule="atLeast"/>
        <w:contextualSpacing/>
        <w:rPr>
          <w:rFonts w:ascii="Arial" w:hAnsi="Arial" w:cs="Arial"/>
          <w:color w:val="000000" w:themeColor="text1"/>
        </w:rPr>
      </w:pPr>
    </w:p>
    <w:p w14:paraId="7F802DB0" w14:textId="7621F99E" w:rsidR="00943D5E" w:rsidRPr="00AA1EB0" w:rsidRDefault="00943D5E" w:rsidP="003A3BEE">
      <w:pPr>
        <w:numPr>
          <w:ilvl w:val="0"/>
          <w:numId w:val="2"/>
        </w:numPr>
        <w:spacing w:after="0" w:line="300" w:lineRule="atLeast"/>
        <w:ind w:left="0" w:firstLine="0"/>
        <w:contextualSpacing/>
        <w:rPr>
          <w:rFonts w:ascii="Arial" w:hAnsi="Arial" w:cs="Arial"/>
        </w:rPr>
      </w:pPr>
      <w:r w:rsidRPr="00AA1EB0">
        <w:rPr>
          <w:rFonts w:ascii="Arial" w:hAnsi="Arial" w:cs="Arial"/>
          <w:color w:val="000000" w:themeColor="text1"/>
        </w:rPr>
        <w:t xml:space="preserve">We concluded that while there are clear benefits to submissions </w:t>
      </w:r>
      <w:r w:rsidR="00206E69" w:rsidRPr="00AA1EB0">
        <w:rPr>
          <w:rFonts w:ascii="Arial" w:hAnsi="Arial" w:cs="Arial"/>
          <w:color w:val="000000" w:themeColor="text1"/>
        </w:rPr>
        <w:t>using</w:t>
      </w:r>
      <w:r w:rsidRPr="00AA1EB0">
        <w:rPr>
          <w:rFonts w:ascii="Arial" w:hAnsi="Arial" w:cs="Arial"/>
          <w:color w:val="000000" w:themeColor="text1"/>
        </w:rPr>
        <w:t xml:space="preserve"> data to support</w:t>
      </w:r>
      <w:r w:rsidR="00206E69" w:rsidRPr="00AA1EB0">
        <w:rPr>
          <w:rFonts w:ascii="Arial" w:hAnsi="Arial" w:cs="Arial"/>
          <w:color w:val="000000" w:themeColor="text1"/>
        </w:rPr>
        <w:t xml:space="preserve"> and evidence</w:t>
      </w:r>
      <w:r w:rsidRPr="00AA1EB0">
        <w:rPr>
          <w:rFonts w:ascii="Arial" w:hAnsi="Arial" w:cs="Arial"/>
          <w:color w:val="000000" w:themeColor="text1"/>
        </w:rPr>
        <w:t xml:space="preserve"> their narrative submission, </w:t>
      </w:r>
      <w:r w:rsidR="00B35498" w:rsidRPr="00AA1EB0">
        <w:rPr>
          <w:rFonts w:ascii="Arial" w:hAnsi="Arial" w:cs="Arial"/>
          <w:color w:val="000000" w:themeColor="text1"/>
        </w:rPr>
        <w:t>we</w:t>
      </w:r>
      <w:r w:rsidR="00487D18" w:rsidRPr="00AA1EB0">
        <w:rPr>
          <w:rFonts w:ascii="Arial" w:hAnsi="Arial" w:cs="Arial"/>
          <w:color w:val="000000" w:themeColor="text1"/>
        </w:rPr>
        <w:t xml:space="preserve"> had concerns </w:t>
      </w:r>
      <w:r w:rsidRPr="00AA1EB0">
        <w:rPr>
          <w:rFonts w:ascii="Arial" w:hAnsi="Arial" w:cs="Arial"/>
          <w:color w:val="000000" w:themeColor="text1"/>
        </w:rPr>
        <w:t xml:space="preserve">regarding </w:t>
      </w:r>
      <w:r w:rsidR="00271AEC" w:rsidRPr="00AA1EB0">
        <w:rPr>
          <w:rFonts w:ascii="Arial" w:hAnsi="Arial" w:cs="Arial"/>
          <w:color w:val="000000" w:themeColor="text1"/>
        </w:rPr>
        <w:t xml:space="preserve">the </w:t>
      </w:r>
      <w:r w:rsidRPr="00AA1EB0">
        <w:rPr>
          <w:rFonts w:ascii="Arial" w:hAnsi="Arial" w:cs="Arial"/>
          <w:color w:val="000000" w:themeColor="text1"/>
        </w:rPr>
        <w:t xml:space="preserve">potential </w:t>
      </w:r>
      <w:r w:rsidR="00487D18" w:rsidRPr="00AA1EB0">
        <w:rPr>
          <w:rFonts w:ascii="Arial" w:hAnsi="Arial" w:cs="Arial"/>
          <w:color w:val="000000" w:themeColor="text1"/>
        </w:rPr>
        <w:t xml:space="preserve">burden </w:t>
      </w:r>
      <w:r w:rsidRPr="00AA1EB0">
        <w:rPr>
          <w:rFonts w:ascii="Arial" w:hAnsi="Arial" w:cs="Arial"/>
          <w:color w:val="000000" w:themeColor="text1"/>
        </w:rPr>
        <w:t>for institutions</w:t>
      </w:r>
      <w:r w:rsidR="00206E69" w:rsidRPr="00AA1EB0">
        <w:rPr>
          <w:rFonts w:ascii="Arial" w:hAnsi="Arial" w:cs="Arial"/>
          <w:color w:val="000000" w:themeColor="text1"/>
        </w:rPr>
        <w:t>, as many of the suggested indicators</w:t>
      </w:r>
      <w:r w:rsidRPr="00AA1EB0">
        <w:rPr>
          <w:rFonts w:ascii="Arial" w:hAnsi="Arial" w:cs="Arial"/>
          <w:color w:val="000000" w:themeColor="text1"/>
        </w:rPr>
        <w:t xml:space="preserve"> </w:t>
      </w:r>
      <w:r w:rsidR="00EA5A9D" w:rsidRPr="00AA1EB0">
        <w:rPr>
          <w:rFonts w:ascii="Arial" w:hAnsi="Arial" w:cs="Arial"/>
          <w:color w:val="000000" w:themeColor="text1"/>
        </w:rPr>
        <w:t xml:space="preserve">would reflect data not already collected or held by institutions. </w:t>
      </w:r>
      <w:r w:rsidR="00206E69" w:rsidRPr="00AA1EB0">
        <w:rPr>
          <w:rFonts w:ascii="Arial" w:hAnsi="Arial" w:cs="Arial"/>
          <w:color w:val="000000" w:themeColor="text1"/>
        </w:rPr>
        <w:t>We were also not convinced that the suggested IDR indicators were robust</w:t>
      </w:r>
      <w:r w:rsidR="00487D18" w:rsidRPr="00AA1EB0">
        <w:rPr>
          <w:rFonts w:ascii="Arial" w:hAnsi="Arial" w:cs="Arial"/>
          <w:color w:val="000000" w:themeColor="text1"/>
        </w:rPr>
        <w:t xml:space="preserve">. </w:t>
      </w:r>
    </w:p>
    <w:p w14:paraId="7365BA7C" w14:textId="77777777" w:rsidR="00A75FE9" w:rsidRPr="00AA1EB0" w:rsidRDefault="00A75FE9" w:rsidP="003A3BEE">
      <w:pPr>
        <w:spacing w:after="0" w:line="300" w:lineRule="atLeast"/>
        <w:contextualSpacing/>
        <w:rPr>
          <w:rFonts w:ascii="Arial" w:hAnsi="Arial" w:cs="Arial"/>
        </w:rPr>
      </w:pPr>
    </w:p>
    <w:p w14:paraId="20B02980" w14:textId="705C26C5" w:rsidR="00487D18" w:rsidRPr="00AA1EB0" w:rsidRDefault="00487D18" w:rsidP="003A3BEE">
      <w:pPr>
        <w:numPr>
          <w:ilvl w:val="0"/>
          <w:numId w:val="2"/>
        </w:numPr>
        <w:spacing w:after="0" w:line="300" w:lineRule="atLeast"/>
        <w:ind w:left="0" w:firstLine="0"/>
        <w:contextualSpacing/>
        <w:rPr>
          <w:rFonts w:ascii="Arial" w:hAnsi="Arial" w:cs="Arial"/>
        </w:rPr>
      </w:pPr>
      <w:r w:rsidRPr="00AA1EB0">
        <w:rPr>
          <w:rFonts w:ascii="Arial" w:hAnsi="Arial" w:cs="Arial"/>
          <w:color w:val="000000" w:themeColor="text1"/>
        </w:rPr>
        <w:t xml:space="preserve">On this basis, </w:t>
      </w:r>
      <w:r w:rsidR="00206E69" w:rsidRPr="00AA1EB0">
        <w:rPr>
          <w:rFonts w:ascii="Arial" w:hAnsi="Arial" w:cs="Arial"/>
          <w:color w:val="000000" w:themeColor="text1"/>
        </w:rPr>
        <w:t>we did</w:t>
      </w:r>
      <w:r w:rsidRPr="00AA1EB0">
        <w:rPr>
          <w:rFonts w:ascii="Arial" w:hAnsi="Arial" w:cs="Arial"/>
          <w:color w:val="000000" w:themeColor="text1"/>
        </w:rPr>
        <w:t xml:space="preserve"> not recommend</w:t>
      </w:r>
      <w:r w:rsidR="00206E69" w:rsidRPr="00AA1EB0">
        <w:rPr>
          <w:rFonts w:ascii="Arial" w:hAnsi="Arial" w:cs="Arial"/>
          <w:color w:val="000000" w:themeColor="text1"/>
        </w:rPr>
        <w:t xml:space="preserve"> the inclusion of</w:t>
      </w:r>
      <w:r w:rsidR="00C4501F">
        <w:rPr>
          <w:rFonts w:ascii="Arial" w:hAnsi="Arial" w:cs="Arial"/>
          <w:color w:val="000000" w:themeColor="text1"/>
        </w:rPr>
        <w:t xml:space="preserve"> any</w:t>
      </w:r>
      <w:r w:rsidRPr="00AA1EB0">
        <w:rPr>
          <w:rFonts w:ascii="Arial" w:hAnsi="Arial" w:cs="Arial"/>
          <w:color w:val="000000" w:themeColor="text1"/>
        </w:rPr>
        <w:t xml:space="preserve"> </w:t>
      </w:r>
      <w:r w:rsidR="00C821A6" w:rsidRPr="00AA1EB0">
        <w:rPr>
          <w:rFonts w:ascii="Arial" w:hAnsi="Arial" w:cs="Arial"/>
          <w:color w:val="000000" w:themeColor="text1"/>
        </w:rPr>
        <w:t>IDR</w:t>
      </w:r>
      <w:r w:rsidR="00206E69" w:rsidRPr="00AA1EB0">
        <w:rPr>
          <w:rFonts w:ascii="Arial" w:hAnsi="Arial" w:cs="Arial"/>
          <w:color w:val="000000" w:themeColor="text1"/>
        </w:rPr>
        <w:t>-</w:t>
      </w:r>
      <w:r w:rsidRPr="00AA1EB0">
        <w:rPr>
          <w:rFonts w:ascii="Arial" w:hAnsi="Arial" w:cs="Arial"/>
          <w:color w:val="000000" w:themeColor="text1"/>
        </w:rPr>
        <w:t>specific indicators</w:t>
      </w:r>
      <w:r w:rsidR="00C821A6" w:rsidRPr="00AA1EB0">
        <w:rPr>
          <w:rFonts w:ascii="Arial" w:hAnsi="Arial" w:cs="Arial"/>
          <w:color w:val="000000" w:themeColor="text1"/>
        </w:rPr>
        <w:t xml:space="preserve">, and </w:t>
      </w:r>
      <w:r w:rsidR="00206E69" w:rsidRPr="00AA1EB0">
        <w:rPr>
          <w:rFonts w:ascii="Arial" w:hAnsi="Arial" w:cs="Arial"/>
          <w:color w:val="000000" w:themeColor="text1"/>
        </w:rPr>
        <w:t xml:space="preserve">advised </w:t>
      </w:r>
      <w:r w:rsidR="00C821A6" w:rsidRPr="00AA1EB0">
        <w:rPr>
          <w:rFonts w:ascii="Arial" w:hAnsi="Arial" w:cs="Arial"/>
          <w:color w:val="000000" w:themeColor="text1"/>
        </w:rPr>
        <w:t xml:space="preserve">that institutions should be </w:t>
      </w:r>
      <w:r w:rsidR="00943D5E" w:rsidRPr="00AA1EB0">
        <w:rPr>
          <w:rFonts w:ascii="Arial" w:hAnsi="Arial" w:cs="Arial"/>
          <w:color w:val="000000" w:themeColor="text1"/>
        </w:rPr>
        <w:t xml:space="preserve">able to </w:t>
      </w:r>
      <w:r w:rsidR="00C821A6" w:rsidRPr="00AA1EB0">
        <w:rPr>
          <w:rFonts w:ascii="Arial" w:hAnsi="Arial" w:cs="Arial"/>
          <w:color w:val="000000" w:themeColor="text1"/>
        </w:rPr>
        <w:t>provide supporting information</w:t>
      </w:r>
      <w:r w:rsidR="00943D5E" w:rsidRPr="00AA1EB0">
        <w:rPr>
          <w:rFonts w:ascii="Arial" w:hAnsi="Arial" w:cs="Arial"/>
          <w:color w:val="000000" w:themeColor="text1"/>
        </w:rPr>
        <w:t xml:space="preserve"> as relevant to their submission</w:t>
      </w:r>
      <w:r w:rsidRPr="00AA1EB0">
        <w:rPr>
          <w:rFonts w:ascii="Arial" w:hAnsi="Arial" w:cs="Arial"/>
          <w:color w:val="000000" w:themeColor="text1"/>
        </w:rPr>
        <w:t>. As a group, we supported the underpinning principles developed for presenting quantitative information on IDR within the FFRRM’s guidance</w:t>
      </w:r>
      <w:r w:rsidRPr="00AA1EB0">
        <w:rPr>
          <w:rFonts w:ascii="Arial" w:hAnsi="Arial" w:cs="Arial"/>
        </w:rPr>
        <w:t xml:space="preserve">. </w:t>
      </w:r>
    </w:p>
    <w:p w14:paraId="2134D01F" w14:textId="77777777" w:rsidR="00487D18" w:rsidRPr="00AA1EB0" w:rsidRDefault="00245413" w:rsidP="007B29A2">
      <w:pPr>
        <w:spacing w:after="0" w:line="300" w:lineRule="atLeast"/>
        <w:ind w:left="720"/>
        <w:rPr>
          <w:rFonts w:ascii="Arial" w:hAnsi="Arial" w:cs="Arial"/>
        </w:rPr>
      </w:pPr>
      <w:r w:rsidRPr="00AA1EB0">
        <w:rPr>
          <w:rFonts w:ascii="Arial" w:hAnsi="Arial" w:cs="Arial"/>
        </w:rPr>
        <w:tab/>
      </w:r>
      <w:r w:rsidRPr="00AA1EB0">
        <w:rPr>
          <w:rFonts w:ascii="Arial" w:hAnsi="Arial" w:cs="Arial"/>
        </w:rPr>
        <w:tab/>
      </w:r>
    </w:p>
    <w:p w14:paraId="6D6010D1" w14:textId="2669C350" w:rsidR="003F6AE9" w:rsidRPr="008A4C66" w:rsidRDefault="00654EB3" w:rsidP="008A4C66">
      <w:pPr>
        <w:pStyle w:val="Heading2"/>
        <w:rPr>
          <w:rFonts w:ascii="Arial" w:eastAsia="Times New Roman" w:hAnsi="Arial" w:cs="Arial"/>
          <w:b/>
          <w:color w:val="000000" w:themeColor="text1"/>
          <w:sz w:val="21"/>
          <w:szCs w:val="21"/>
          <w:lang w:eastAsia="en-GB"/>
        </w:rPr>
      </w:pPr>
      <w:bookmarkStart w:id="23" w:name="_Toc3200584"/>
      <w:r w:rsidRPr="008A4C66">
        <w:rPr>
          <w:rFonts w:ascii="Arial" w:eastAsia="Times New Roman" w:hAnsi="Arial" w:cs="Arial"/>
          <w:b/>
          <w:color w:val="000000" w:themeColor="text1"/>
          <w:sz w:val="21"/>
          <w:szCs w:val="21"/>
          <w:lang w:eastAsia="en-GB"/>
        </w:rPr>
        <w:t>Interdisciplinary research and institutional-level assessment</w:t>
      </w:r>
      <w:bookmarkEnd w:id="23"/>
    </w:p>
    <w:p w14:paraId="49DC3CF1" w14:textId="589ECA77" w:rsidR="008731E5" w:rsidRPr="00AA1EB0" w:rsidRDefault="00C35928" w:rsidP="003A3BEE">
      <w:pPr>
        <w:numPr>
          <w:ilvl w:val="0"/>
          <w:numId w:val="2"/>
        </w:numPr>
        <w:spacing w:after="0" w:line="300" w:lineRule="atLeast"/>
        <w:ind w:left="0" w:firstLine="0"/>
        <w:contextualSpacing/>
        <w:rPr>
          <w:rFonts w:ascii="Arial" w:hAnsi="Arial" w:cs="Arial"/>
          <w:color w:val="000000" w:themeColor="text1"/>
        </w:rPr>
      </w:pPr>
      <w:r w:rsidRPr="00AA1EB0">
        <w:rPr>
          <w:rFonts w:ascii="Arial" w:hAnsi="Arial" w:cs="Arial"/>
          <w:color w:val="000000" w:themeColor="text1"/>
        </w:rPr>
        <w:t xml:space="preserve">IDAP was </w:t>
      </w:r>
      <w:r w:rsidR="008469D6" w:rsidRPr="00AA1EB0">
        <w:rPr>
          <w:rFonts w:ascii="Arial" w:hAnsi="Arial" w:cs="Arial"/>
          <w:color w:val="000000" w:themeColor="text1"/>
        </w:rPr>
        <w:t xml:space="preserve">asked </w:t>
      </w:r>
      <w:r w:rsidRPr="00AA1EB0">
        <w:rPr>
          <w:rFonts w:ascii="Arial" w:hAnsi="Arial" w:cs="Arial"/>
          <w:color w:val="000000" w:themeColor="text1"/>
        </w:rPr>
        <w:t>to</w:t>
      </w:r>
      <w:r w:rsidR="008731E5" w:rsidRPr="00AA1EB0">
        <w:rPr>
          <w:rFonts w:ascii="Arial" w:hAnsi="Arial" w:cs="Arial"/>
          <w:color w:val="000000" w:themeColor="text1"/>
        </w:rPr>
        <w:t xml:space="preserve"> </w:t>
      </w:r>
      <w:r w:rsidR="00A75FE9" w:rsidRPr="00AA1EB0">
        <w:rPr>
          <w:rFonts w:ascii="Arial" w:hAnsi="Arial" w:cs="Arial"/>
          <w:color w:val="000000" w:themeColor="text1"/>
        </w:rPr>
        <w:t xml:space="preserve">advise the funding bodies </w:t>
      </w:r>
      <w:r w:rsidR="008469D6" w:rsidRPr="00AA1EB0">
        <w:rPr>
          <w:rFonts w:ascii="Arial" w:hAnsi="Arial" w:cs="Arial"/>
          <w:color w:val="000000" w:themeColor="text1"/>
        </w:rPr>
        <w:t>on the</w:t>
      </w:r>
      <w:r w:rsidR="00A75FE9" w:rsidRPr="00AA1EB0">
        <w:rPr>
          <w:rFonts w:ascii="Arial" w:hAnsi="Arial" w:cs="Arial"/>
          <w:color w:val="000000" w:themeColor="text1"/>
        </w:rPr>
        <w:t xml:space="preserve"> </w:t>
      </w:r>
      <w:r w:rsidR="008731E5" w:rsidRPr="00AA1EB0">
        <w:rPr>
          <w:rFonts w:ascii="Arial" w:hAnsi="Arial" w:cs="Arial"/>
          <w:color w:val="000000" w:themeColor="text1"/>
        </w:rPr>
        <w:t xml:space="preserve">inclusion of </w:t>
      </w:r>
      <w:r w:rsidRPr="00AA1EB0">
        <w:rPr>
          <w:rFonts w:ascii="Arial" w:hAnsi="Arial" w:cs="Arial"/>
          <w:color w:val="000000" w:themeColor="text1"/>
        </w:rPr>
        <w:t xml:space="preserve">IDR within the </w:t>
      </w:r>
      <w:r w:rsidR="008731E5" w:rsidRPr="00AA1EB0">
        <w:rPr>
          <w:rFonts w:ascii="Arial" w:hAnsi="Arial" w:cs="Arial"/>
          <w:color w:val="000000" w:themeColor="text1"/>
        </w:rPr>
        <w:t xml:space="preserve">proposed </w:t>
      </w:r>
      <w:r w:rsidRPr="00AA1EB0">
        <w:rPr>
          <w:rFonts w:ascii="Arial" w:hAnsi="Arial" w:cs="Arial"/>
          <w:color w:val="000000" w:themeColor="text1"/>
        </w:rPr>
        <w:t>institutional</w:t>
      </w:r>
      <w:r w:rsidR="008469D6" w:rsidRPr="00AA1EB0">
        <w:rPr>
          <w:rFonts w:ascii="Arial" w:hAnsi="Arial" w:cs="Arial"/>
          <w:color w:val="000000" w:themeColor="text1"/>
        </w:rPr>
        <w:t>-</w:t>
      </w:r>
      <w:r w:rsidRPr="00AA1EB0">
        <w:rPr>
          <w:rFonts w:ascii="Arial" w:hAnsi="Arial" w:cs="Arial"/>
          <w:color w:val="000000" w:themeColor="text1"/>
        </w:rPr>
        <w:t>level submission</w:t>
      </w:r>
      <w:r w:rsidR="008731E5" w:rsidRPr="00AA1EB0">
        <w:rPr>
          <w:rFonts w:ascii="Arial" w:hAnsi="Arial" w:cs="Arial"/>
          <w:color w:val="000000" w:themeColor="text1"/>
        </w:rPr>
        <w:t>s for environment and impact</w:t>
      </w:r>
      <w:r w:rsidR="008469D6" w:rsidRPr="00AA1EB0">
        <w:rPr>
          <w:rFonts w:ascii="Arial" w:hAnsi="Arial" w:cs="Arial"/>
          <w:color w:val="000000" w:themeColor="text1"/>
        </w:rPr>
        <w:t>, as recommended in the Stern review</w:t>
      </w:r>
      <w:r w:rsidR="00A75FE9" w:rsidRPr="00AA1EB0">
        <w:rPr>
          <w:rFonts w:ascii="Arial" w:hAnsi="Arial" w:cs="Arial"/>
          <w:color w:val="000000" w:themeColor="text1"/>
        </w:rPr>
        <w:t xml:space="preserve">. </w:t>
      </w:r>
      <w:r w:rsidR="001F63FB" w:rsidRPr="00AA1EB0">
        <w:rPr>
          <w:rFonts w:ascii="Arial" w:hAnsi="Arial" w:cs="Arial"/>
          <w:color w:val="000000" w:themeColor="text1"/>
        </w:rPr>
        <w:t>T</w:t>
      </w:r>
      <w:r w:rsidR="00781F92" w:rsidRPr="00AA1EB0">
        <w:rPr>
          <w:rFonts w:ascii="Arial" w:hAnsi="Arial" w:cs="Arial"/>
          <w:color w:val="000000" w:themeColor="text1"/>
        </w:rPr>
        <w:t>he consultation proposed the following approach for the assessment of institutional-level submissions:</w:t>
      </w:r>
    </w:p>
    <w:p w14:paraId="211AB515" w14:textId="77777777" w:rsidR="00781F92" w:rsidRPr="00AA1EB0" w:rsidRDefault="00781F92" w:rsidP="007B29A2">
      <w:pPr>
        <w:spacing w:after="0" w:line="300" w:lineRule="atLeast"/>
        <w:ind w:left="360"/>
        <w:contextualSpacing/>
        <w:rPr>
          <w:rFonts w:ascii="Arial" w:hAnsi="Arial" w:cs="Arial"/>
          <w:color w:val="000000" w:themeColor="text1"/>
        </w:rPr>
      </w:pPr>
      <w:r w:rsidRPr="00AA1EB0">
        <w:rPr>
          <w:rFonts w:ascii="Arial" w:hAnsi="Arial" w:cs="Arial"/>
          <w:color w:val="000000" w:themeColor="text1"/>
        </w:rPr>
        <w:t xml:space="preserve">  </w:t>
      </w:r>
    </w:p>
    <w:p w14:paraId="18A19DB4" w14:textId="5ECA2B98" w:rsidR="00781F92" w:rsidRPr="00AA1EB0" w:rsidRDefault="00781F92" w:rsidP="003A3BEE">
      <w:pPr>
        <w:numPr>
          <w:ilvl w:val="1"/>
          <w:numId w:val="2"/>
        </w:numPr>
        <w:spacing w:after="0" w:line="300" w:lineRule="atLeast"/>
        <w:ind w:left="1134" w:hanging="567"/>
        <w:contextualSpacing/>
        <w:rPr>
          <w:rFonts w:ascii="Arial" w:hAnsi="Arial" w:cs="Arial"/>
          <w:color w:val="000000" w:themeColor="text1"/>
        </w:rPr>
      </w:pPr>
      <w:r w:rsidRPr="00AA1EB0">
        <w:rPr>
          <w:rFonts w:ascii="Arial" w:hAnsi="Arial" w:cs="Arial"/>
          <w:color w:val="000000" w:themeColor="text1"/>
        </w:rPr>
        <w:t xml:space="preserve">Environment: assessment of institutional-level environment submissions through an additional environment template. In part the aim of this proposal was to reduce duplication in </w:t>
      </w:r>
      <w:r w:rsidR="00EA5A9D" w:rsidRPr="00AA1EB0">
        <w:rPr>
          <w:rFonts w:ascii="Arial" w:hAnsi="Arial" w:cs="Arial"/>
          <w:color w:val="000000" w:themeColor="text1"/>
        </w:rPr>
        <w:t>unit-level</w:t>
      </w:r>
      <w:r w:rsidRPr="00AA1EB0">
        <w:rPr>
          <w:rFonts w:ascii="Arial" w:hAnsi="Arial" w:cs="Arial"/>
          <w:color w:val="000000" w:themeColor="text1"/>
        </w:rPr>
        <w:t xml:space="preserve"> submissions</w:t>
      </w:r>
      <w:r w:rsidR="00EA5A9D" w:rsidRPr="00AA1EB0">
        <w:rPr>
          <w:rFonts w:ascii="Arial" w:hAnsi="Arial" w:cs="Arial"/>
          <w:color w:val="000000" w:themeColor="text1"/>
        </w:rPr>
        <w:t>;</w:t>
      </w:r>
      <w:r w:rsidRPr="00AA1EB0">
        <w:rPr>
          <w:rFonts w:ascii="Arial" w:hAnsi="Arial" w:cs="Arial"/>
          <w:color w:val="000000" w:themeColor="text1"/>
        </w:rPr>
        <w:t xml:space="preserve"> however</w:t>
      </w:r>
      <w:r w:rsidR="00EA5A9D" w:rsidRPr="00AA1EB0">
        <w:rPr>
          <w:rFonts w:ascii="Arial" w:hAnsi="Arial" w:cs="Arial"/>
          <w:color w:val="000000" w:themeColor="text1"/>
        </w:rPr>
        <w:t>,</w:t>
      </w:r>
      <w:r w:rsidRPr="00AA1EB0">
        <w:rPr>
          <w:rFonts w:ascii="Arial" w:hAnsi="Arial" w:cs="Arial"/>
          <w:color w:val="000000" w:themeColor="text1"/>
        </w:rPr>
        <w:t xml:space="preserve"> it was proposed that this would also capture wider institutional strategy and direction, including approaches to support IDR and cross-institutional working. This would be subject to</w:t>
      </w:r>
      <w:r w:rsidR="001531A0" w:rsidRPr="00AA1EB0">
        <w:rPr>
          <w:rFonts w:ascii="Arial" w:hAnsi="Arial" w:cs="Arial"/>
          <w:color w:val="000000" w:themeColor="text1"/>
        </w:rPr>
        <w:t xml:space="preserve"> unscored</w:t>
      </w:r>
      <w:r w:rsidRPr="00AA1EB0">
        <w:rPr>
          <w:rFonts w:ascii="Arial" w:hAnsi="Arial" w:cs="Arial"/>
          <w:color w:val="000000" w:themeColor="text1"/>
        </w:rPr>
        <w:t xml:space="preserve"> assessment in REF 2021 through a pilot panel</w:t>
      </w:r>
      <w:r w:rsidR="001531A0" w:rsidRPr="00AA1EB0">
        <w:rPr>
          <w:rFonts w:ascii="Arial" w:hAnsi="Arial" w:cs="Arial"/>
          <w:color w:val="000000" w:themeColor="text1"/>
        </w:rPr>
        <w:t xml:space="preserve"> in order to produce recommendations for inclusion in future REF exercises</w:t>
      </w:r>
      <w:r w:rsidRPr="00AA1EB0">
        <w:rPr>
          <w:rFonts w:ascii="Arial" w:hAnsi="Arial" w:cs="Arial"/>
          <w:color w:val="000000" w:themeColor="text1"/>
        </w:rPr>
        <w:t>.</w:t>
      </w:r>
    </w:p>
    <w:p w14:paraId="0B2BC947" w14:textId="77777777" w:rsidR="00C35928" w:rsidRPr="00AA1EB0" w:rsidRDefault="00C35928" w:rsidP="003A3BEE">
      <w:pPr>
        <w:spacing w:after="0" w:line="300" w:lineRule="atLeast"/>
        <w:ind w:left="1134" w:hanging="567"/>
        <w:contextualSpacing/>
        <w:rPr>
          <w:rFonts w:ascii="Arial" w:hAnsi="Arial" w:cs="Arial"/>
          <w:color w:val="000000" w:themeColor="text1"/>
        </w:rPr>
      </w:pPr>
    </w:p>
    <w:p w14:paraId="29D555D4" w14:textId="77777777" w:rsidR="00781F92" w:rsidRPr="00AA1EB0" w:rsidRDefault="00781F92" w:rsidP="003A3BEE">
      <w:pPr>
        <w:numPr>
          <w:ilvl w:val="1"/>
          <w:numId w:val="2"/>
        </w:numPr>
        <w:spacing w:after="0" w:line="300" w:lineRule="atLeast"/>
        <w:ind w:left="1134" w:hanging="567"/>
        <w:contextualSpacing/>
        <w:rPr>
          <w:rFonts w:ascii="Arial" w:hAnsi="Arial" w:cs="Arial"/>
          <w:color w:val="000000" w:themeColor="text1"/>
        </w:rPr>
      </w:pPr>
      <w:r w:rsidRPr="00AA1EB0">
        <w:rPr>
          <w:rFonts w:ascii="Arial" w:hAnsi="Arial" w:cs="Arial"/>
          <w:color w:val="000000" w:themeColor="text1"/>
        </w:rPr>
        <w:t xml:space="preserve">Impact: assessment of institution-level impact case studies; this was intended to allow institutions to demonstrate impacts arising through interdisciplinary and collaborative approaches at a wider institutional level, and which could not otherwise be submitted through unit-level submissions. </w:t>
      </w:r>
    </w:p>
    <w:p w14:paraId="784A5FDB" w14:textId="77777777" w:rsidR="00C35928" w:rsidRPr="00AA1EB0" w:rsidRDefault="00C35928" w:rsidP="007B29A2">
      <w:pPr>
        <w:spacing w:after="0" w:line="300" w:lineRule="atLeast"/>
        <w:ind w:left="792"/>
        <w:contextualSpacing/>
        <w:rPr>
          <w:rFonts w:ascii="Arial" w:hAnsi="Arial" w:cs="Arial"/>
          <w:color w:val="000000" w:themeColor="text1"/>
        </w:rPr>
      </w:pPr>
    </w:p>
    <w:p w14:paraId="584C5D74" w14:textId="06D288BC" w:rsidR="001F63FB" w:rsidRPr="00AA1EB0" w:rsidRDefault="001F63FB" w:rsidP="003A3BEE">
      <w:pPr>
        <w:numPr>
          <w:ilvl w:val="0"/>
          <w:numId w:val="2"/>
        </w:numPr>
        <w:spacing w:after="0" w:line="300" w:lineRule="atLeast"/>
        <w:ind w:left="0" w:firstLine="0"/>
        <w:contextualSpacing/>
        <w:rPr>
          <w:rFonts w:ascii="Arial" w:hAnsi="Arial" w:cs="Arial"/>
          <w:color w:val="000000" w:themeColor="text1"/>
        </w:rPr>
      </w:pPr>
      <w:r w:rsidRPr="00AA1EB0">
        <w:rPr>
          <w:rFonts w:ascii="Arial" w:hAnsi="Arial" w:cs="Arial"/>
          <w:color w:val="000000" w:themeColor="text1"/>
        </w:rPr>
        <w:t xml:space="preserve">The </w:t>
      </w:r>
      <w:r w:rsidR="002A47FC" w:rsidRPr="00AA1EB0">
        <w:rPr>
          <w:rFonts w:ascii="Arial" w:hAnsi="Arial" w:cs="Arial"/>
          <w:color w:val="000000" w:themeColor="text1"/>
        </w:rPr>
        <w:t xml:space="preserve">inclusion of IDR information within in </w:t>
      </w:r>
      <w:r w:rsidRPr="00AA1EB0">
        <w:rPr>
          <w:rFonts w:ascii="Arial" w:hAnsi="Arial" w:cs="Arial"/>
          <w:color w:val="000000" w:themeColor="text1"/>
        </w:rPr>
        <w:t>an institutional-level assessment of environment was seen by the panel as offering clear opportunities for institutions to present initiatives</w:t>
      </w:r>
      <w:r w:rsidR="00EA5A9D" w:rsidRPr="00AA1EB0">
        <w:rPr>
          <w:rFonts w:ascii="Arial" w:hAnsi="Arial" w:cs="Arial"/>
          <w:color w:val="000000" w:themeColor="text1"/>
        </w:rPr>
        <w:t xml:space="preserve"> and structures</w:t>
      </w:r>
      <w:r w:rsidRPr="00AA1EB0">
        <w:rPr>
          <w:rFonts w:ascii="Arial" w:hAnsi="Arial" w:cs="Arial"/>
          <w:color w:val="000000" w:themeColor="text1"/>
        </w:rPr>
        <w:t xml:space="preserve"> that support </w:t>
      </w:r>
      <w:r w:rsidR="00333F08" w:rsidRPr="00AA1EB0">
        <w:rPr>
          <w:rFonts w:ascii="Arial" w:hAnsi="Arial" w:cs="Arial"/>
          <w:color w:val="000000" w:themeColor="text1"/>
        </w:rPr>
        <w:t>IDR</w:t>
      </w:r>
      <w:r w:rsidRPr="00AA1EB0">
        <w:rPr>
          <w:rFonts w:ascii="Arial" w:hAnsi="Arial" w:cs="Arial"/>
          <w:color w:val="000000" w:themeColor="text1"/>
        </w:rPr>
        <w:t xml:space="preserve"> outside of departmental or faculty structures. Examples </w:t>
      </w:r>
      <w:r w:rsidR="002A47FC" w:rsidRPr="00AA1EB0">
        <w:rPr>
          <w:rFonts w:ascii="Arial" w:hAnsi="Arial" w:cs="Arial"/>
          <w:color w:val="000000" w:themeColor="text1"/>
        </w:rPr>
        <w:t xml:space="preserve">the panel considered </w:t>
      </w:r>
      <w:r w:rsidRPr="00AA1EB0">
        <w:rPr>
          <w:rFonts w:ascii="Arial" w:hAnsi="Arial" w:cs="Arial"/>
          <w:color w:val="000000" w:themeColor="text1"/>
        </w:rPr>
        <w:t xml:space="preserve">included interdisciplinary institutes that </w:t>
      </w:r>
      <w:r w:rsidR="00333F08" w:rsidRPr="00AA1EB0">
        <w:rPr>
          <w:rFonts w:ascii="Arial" w:hAnsi="Arial" w:cs="Arial"/>
          <w:color w:val="000000" w:themeColor="text1"/>
        </w:rPr>
        <w:t xml:space="preserve">do </w:t>
      </w:r>
      <w:r w:rsidRPr="00AA1EB0">
        <w:rPr>
          <w:rFonts w:ascii="Arial" w:hAnsi="Arial" w:cs="Arial"/>
          <w:color w:val="000000" w:themeColor="text1"/>
        </w:rPr>
        <w:t xml:space="preserve">not sit within departments and seed-corn initiatives to stimulate IDR within institutions. </w:t>
      </w:r>
      <w:r w:rsidR="004C5F6F" w:rsidRPr="00AA1EB0">
        <w:rPr>
          <w:rFonts w:ascii="Arial" w:hAnsi="Arial" w:cs="Arial"/>
          <w:color w:val="000000" w:themeColor="text1"/>
        </w:rPr>
        <w:t xml:space="preserve">The institutional-level statement </w:t>
      </w:r>
      <w:r w:rsidRPr="00AA1EB0">
        <w:rPr>
          <w:rFonts w:ascii="Arial" w:hAnsi="Arial" w:cs="Arial"/>
          <w:color w:val="000000" w:themeColor="text1"/>
        </w:rPr>
        <w:t xml:space="preserve">would also provide scope for institutions to describe how their infrastructure as a whole supports different types of research, including IDR. </w:t>
      </w:r>
      <w:r w:rsidR="00081E42" w:rsidRPr="00AA1EB0">
        <w:rPr>
          <w:rFonts w:ascii="Arial" w:hAnsi="Arial" w:cs="Arial"/>
          <w:color w:val="000000" w:themeColor="text1"/>
        </w:rPr>
        <w:t xml:space="preserve"> </w:t>
      </w:r>
    </w:p>
    <w:p w14:paraId="04A9FF97" w14:textId="77777777" w:rsidR="001F63FB" w:rsidRPr="00AA1EB0" w:rsidRDefault="001F63FB" w:rsidP="003A3BEE">
      <w:pPr>
        <w:spacing w:after="0" w:line="300" w:lineRule="atLeast"/>
        <w:contextualSpacing/>
        <w:rPr>
          <w:rFonts w:ascii="Arial" w:hAnsi="Arial" w:cs="Arial"/>
          <w:color w:val="000000" w:themeColor="text1"/>
        </w:rPr>
      </w:pPr>
    </w:p>
    <w:p w14:paraId="08BEEC2C" w14:textId="22528007" w:rsidR="00734B61" w:rsidRPr="00D25469" w:rsidRDefault="00781F92" w:rsidP="003A3BEE">
      <w:pPr>
        <w:numPr>
          <w:ilvl w:val="0"/>
          <w:numId w:val="2"/>
        </w:numPr>
        <w:spacing w:after="0" w:line="300" w:lineRule="atLeast"/>
        <w:ind w:left="0" w:firstLine="0"/>
        <w:contextualSpacing/>
        <w:rPr>
          <w:rFonts w:ascii="Arial" w:hAnsi="Arial" w:cs="Arial"/>
          <w:color w:val="000000" w:themeColor="text1"/>
        </w:rPr>
      </w:pPr>
      <w:r w:rsidRPr="00AA1EB0">
        <w:rPr>
          <w:rFonts w:ascii="Arial" w:hAnsi="Arial" w:cs="Arial"/>
          <w:color w:val="000000" w:themeColor="text1"/>
        </w:rPr>
        <w:t xml:space="preserve">With regards to the institutional-level assessment of impact case studies, </w:t>
      </w:r>
      <w:r w:rsidR="001531A0" w:rsidRPr="00AA1EB0">
        <w:rPr>
          <w:rFonts w:ascii="Arial" w:hAnsi="Arial" w:cs="Arial"/>
          <w:color w:val="000000" w:themeColor="text1"/>
        </w:rPr>
        <w:t xml:space="preserve">IDAP </w:t>
      </w:r>
      <w:r w:rsidR="002A47FC" w:rsidRPr="00AA1EB0">
        <w:rPr>
          <w:rFonts w:ascii="Arial" w:hAnsi="Arial" w:cs="Arial"/>
          <w:color w:val="000000" w:themeColor="text1"/>
        </w:rPr>
        <w:t xml:space="preserve">members </w:t>
      </w:r>
      <w:r w:rsidR="001531A0" w:rsidRPr="00AA1EB0">
        <w:rPr>
          <w:rFonts w:ascii="Arial" w:hAnsi="Arial" w:cs="Arial"/>
          <w:color w:val="000000" w:themeColor="text1"/>
        </w:rPr>
        <w:t>noted the issue</w:t>
      </w:r>
      <w:r w:rsidR="00EA5A9D" w:rsidRPr="00AA1EB0">
        <w:rPr>
          <w:rFonts w:ascii="Arial" w:hAnsi="Arial" w:cs="Arial"/>
          <w:color w:val="000000" w:themeColor="text1"/>
        </w:rPr>
        <w:t>s</w:t>
      </w:r>
      <w:r w:rsidR="001531A0" w:rsidRPr="00AA1EB0">
        <w:rPr>
          <w:rFonts w:ascii="Arial" w:hAnsi="Arial" w:cs="Arial"/>
          <w:color w:val="000000" w:themeColor="text1"/>
        </w:rPr>
        <w:t xml:space="preserve"> highlighted </w:t>
      </w:r>
      <w:r w:rsidR="001F63FB" w:rsidRPr="00AA1EB0">
        <w:rPr>
          <w:rFonts w:ascii="Arial" w:hAnsi="Arial" w:cs="Arial"/>
          <w:color w:val="000000" w:themeColor="text1"/>
        </w:rPr>
        <w:t xml:space="preserve">by </w:t>
      </w:r>
      <w:r w:rsidR="00EA5A9D" w:rsidRPr="00AA1EB0">
        <w:rPr>
          <w:rFonts w:ascii="Arial" w:hAnsi="Arial" w:cs="Arial"/>
          <w:color w:val="000000" w:themeColor="text1"/>
        </w:rPr>
        <w:t>respondents</w:t>
      </w:r>
      <w:r w:rsidR="001F63FB" w:rsidRPr="00AA1EB0">
        <w:rPr>
          <w:rFonts w:ascii="Arial" w:hAnsi="Arial" w:cs="Arial"/>
          <w:color w:val="000000" w:themeColor="text1"/>
        </w:rPr>
        <w:t xml:space="preserve"> </w:t>
      </w:r>
      <w:r w:rsidR="00EA5A9D" w:rsidRPr="00AA1EB0">
        <w:rPr>
          <w:rFonts w:ascii="Arial" w:hAnsi="Arial" w:cs="Arial"/>
          <w:color w:val="000000" w:themeColor="text1"/>
        </w:rPr>
        <w:t>to</w:t>
      </w:r>
      <w:r w:rsidR="001F63FB" w:rsidRPr="00AA1EB0">
        <w:rPr>
          <w:rFonts w:ascii="Arial" w:hAnsi="Arial" w:cs="Arial"/>
          <w:color w:val="000000" w:themeColor="text1"/>
        </w:rPr>
        <w:t xml:space="preserve"> the</w:t>
      </w:r>
      <w:r w:rsidR="00EA5A9D" w:rsidRPr="00AA1EB0">
        <w:rPr>
          <w:rFonts w:ascii="Arial" w:hAnsi="Arial" w:cs="Arial"/>
          <w:color w:val="000000" w:themeColor="text1"/>
        </w:rPr>
        <w:t xml:space="preserve"> 2016</w:t>
      </w:r>
      <w:r w:rsidR="001F63FB" w:rsidRPr="00AA1EB0">
        <w:rPr>
          <w:rFonts w:ascii="Arial" w:hAnsi="Arial" w:cs="Arial"/>
          <w:color w:val="000000" w:themeColor="text1"/>
        </w:rPr>
        <w:t xml:space="preserve"> consultation</w:t>
      </w:r>
      <w:r w:rsidR="00542C31" w:rsidRPr="00AA1EB0">
        <w:rPr>
          <w:rFonts w:ascii="Arial" w:hAnsi="Arial" w:cs="Arial"/>
          <w:color w:val="000000" w:themeColor="text1"/>
        </w:rPr>
        <w:t xml:space="preserve">. There was some concern that the terms </w:t>
      </w:r>
      <w:r w:rsidR="009017D3">
        <w:rPr>
          <w:rFonts w:ascii="Arial" w:hAnsi="Arial" w:cs="Arial"/>
          <w:color w:val="000000" w:themeColor="text1"/>
        </w:rPr>
        <w:t>’</w:t>
      </w:r>
      <w:r w:rsidR="00542C31" w:rsidRPr="00AA1EB0">
        <w:rPr>
          <w:rFonts w:ascii="Arial" w:hAnsi="Arial" w:cs="Arial"/>
          <w:color w:val="000000" w:themeColor="text1"/>
        </w:rPr>
        <w:t>interdisciplinary</w:t>
      </w:r>
      <w:r w:rsidR="009017D3">
        <w:rPr>
          <w:rFonts w:ascii="Arial" w:hAnsi="Arial" w:cs="Arial"/>
          <w:color w:val="000000" w:themeColor="text1"/>
        </w:rPr>
        <w:t>’</w:t>
      </w:r>
      <w:r w:rsidR="00542C31" w:rsidRPr="00AA1EB0">
        <w:rPr>
          <w:rFonts w:ascii="Arial" w:hAnsi="Arial" w:cs="Arial"/>
          <w:color w:val="000000" w:themeColor="text1"/>
        </w:rPr>
        <w:t xml:space="preserve"> and </w:t>
      </w:r>
      <w:r w:rsidR="009017D3">
        <w:rPr>
          <w:rFonts w:ascii="Arial" w:hAnsi="Arial" w:cs="Arial"/>
          <w:color w:val="000000" w:themeColor="text1"/>
        </w:rPr>
        <w:t>’</w:t>
      </w:r>
      <w:r w:rsidR="00542C31" w:rsidRPr="00AA1EB0">
        <w:rPr>
          <w:rFonts w:ascii="Arial" w:hAnsi="Arial" w:cs="Arial"/>
          <w:color w:val="000000" w:themeColor="text1"/>
        </w:rPr>
        <w:t>institution</w:t>
      </w:r>
      <w:r w:rsidR="009017D3">
        <w:rPr>
          <w:rFonts w:ascii="Arial" w:hAnsi="Arial" w:cs="Arial"/>
          <w:color w:val="000000" w:themeColor="text1"/>
        </w:rPr>
        <w:t>’</w:t>
      </w:r>
      <w:r w:rsidR="00542C31" w:rsidRPr="00AA1EB0">
        <w:rPr>
          <w:rFonts w:ascii="Arial" w:hAnsi="Arial" w:cs="Arial"/>
          <w:color w:val="000000" w:themeColor="text1"/>
        </w:rPr>
        <w:t xml:space="preserve"> had become conflated in this proposal and</w:t>
      </w:r>
      <w:r w:rsidR="004C5F6F" w:rsidRPr="00AA1EB0">
        <w:rPr>
          <w:rFonts w:ascii="Arial" w:hAnsi="Arial" w:cs="Arial"/>
          <w:color w:val="000000" w:themeColor="text1"/>
        </w:rPr>
        <w:t xml:space="preserve"> a sense</w:t>
      </w:r>
      <w:r w:rsidR="001531A0" w:rsidRPr="00AA1EB0">
        <w:rPr>
          <w:rFonts w:ascii="Arial" w:hAnsi="Arial" w:cs="Arial"/>
          <w:color w:val="000000" w:themeColor="text1"/>
        </w:rPr>
        <w:t xml:space="preserve"> </w:t>
      </w:r>
      <w:r w:rsidR="00542C31" w:rsidRPr="00AA1EB0">
        <w:rPr>
          <w:rFonts w:ascii="Arial" w:hAnsi="Arial" w:cs="Arial"/>
          <w:color w:val="000000" w:themeColor="text1"/>
        </w:rPr>
        <w:t xml:space="preserve">that the assessment of impact in </w:t>
      </w:r>
      <w:r w:rsidR="001F63FB" w:rsidRPr="00AA1EB0">
        <w:rPr>
          <w:rFonts w:ascii="Arial" w:hAnsi="Arial" w:cs="Arial"/>
          <w:color w:val="000000" w:themeColor="text1"/>
        </w:rPr>
        <w:t>REF 2014</w:t>
      </w:r>
      <w:r w:rsidR="00542C31" w:rsidRPr="00AA1EB0">
        <w:rPr>
          <w:rFonts w:ascii="Arial" w:hAnsi="Arial" w:cs="Arial"/>
          <w:color w:val="000000" w:themeColor="text1"/>
        </w:rPr>
        <w:t xml:space="preserve"> had been sufficiently open to incorporate IDR case studies</w:t>
      </w:r>
      <w:r w:rsidR="001F63FB" w:rsidRPr="00AA1EB0">
        <w:rPr>
          <w:rFonts w:ascii="Arial" w:hAnsi="Arial" w:cs="Arial"/>
          <w:color w:val="000000" w:themeColor="text1"/>
        </w:rPr>
        <w:t>. Noting</w:t>
      </w:r>
      <w:r w:rsidR="00A75FE9" w:rsidRPr="00AA1EB0">
        <w:rPr>
          <w:rFonts w:ascii="Arial" w:hAnsi="Arial" w:cs="Arial"/>
          <w:color w:val="000000" w:themeColor="text1"/>
        </w:rPr>
        <w:t xml:space="preserve"> also</w:t>
      </w:r>
      <w:r w:rsidR="001F63FB" w:rsidRPr="00AA1EB0">
        <w:rPr>
          <w:rFonts w:ascii="Arial" w:hAnsi="Arial" w:cs="Arial"/>
          <w:color w:val="000000" w:themeColor="text1"/>
        </w:rPr>
        <w:t xml:space="preserve"> the </w:t>
      </w:r>
      <w:r w:rsidR="00A75FE9" w:rsidRPr="00AA1EB0">
        <w:rPr>
          <w:rFonts w:ascii="Arial" w:hAnsi="Arial" w:cs="Arial"/>
          <w:color w:val="000000" w:themeColor="text1"/>
        </w:rPr>
        <w:t xml:space="preserve">proportion of </w:t>
      </w:r>
      <w:r w:rsidR="00EA5A9D" w:rsidRPr="00AA1EB0">
        <w:rPr>
          <w:rFonts w:ascii="Arial" w:hAnsi="Arial" w:cs="Arial"/>
          <w:color w:val="000000" w:themeColor="text1"/>
        </w:rPr>
        <w:t xml:space="preserve">impact case studies underpinned by </w:t>
      </w:r>
      <w:r w:rsidR="00081E42" w:rsidRPr="00AA1EB0">
        <w:rPr>
          <w:rFonts w:ascii="Arial" w:hAnsi="Arial" w:cs="Arial"/>
          <w:color w:val="000000" w:themeColor="text1"/>
        </w:rPr>
        <w:t xml:space="preserve">interdisciplinary </w:t>
      </w:r>
      <w:r w:rsidR="00EA5A9D" w:rsidRPr="00AA1EB0">
        <w:rPr>
          <w:rFonts w:ascii="Arial" w:hAnsi="Arial" w:cs="Arial"/>
          <w:color w:val="000000" w:themeColor="text1"/>
        </w:rPr>
        <w:t>research that</w:t>
      </w:r>
      <w:r w:rsidR="00081E42" w:rsidRPr="00AA1EB0">
        <w:rPr>
          <w:rFonts w:ascii="Arial" w:hAnsi="Arial" w:cs="Arial"/>
          <w:color w:val="000000" w:themeColor="text1"/>
        </w:rPr>
        <w:t xml:space="preserve"> </w:t>
      </w:r>
      <w:r w:rsidR="00EA5A9D" w:rsidRPr="00AA1EB0">
        <w:rPr>
          <w:rFonts w:ascii="Arial" w:hAnsi="Arial" w:cs="Arial"/>
          <w:color w:val="000000" w:themeColor="text1"/>
        </w:rPr>
        <w:t>were</w:t>
      </w:r>
      <w:r w:rsidR="00081E42" w:rsidRPr="00AA1EB0">
        <w:rPr>
          <w:rFonts w:ascii="Arial" w:hAnsi="Arial" w:cs="Arial"/>
          <w:color w:val="000000" w:themeColor="text1"/>
        </w:rPr>
        <w:t xml:space="preserve"> submitted in 2014, </w:t>
      </w:r>
      <w:r w:rsidRPr="00AA1EB0">
        <w:rPr>
          <w:rFonts w:ascii="Arial" w:hAnsi="Arial" w:cs="Arial"/>
          <w:color w:val="000000" w:themeColor="text1"/>
        </w:rPr>
        <w:t>we concluded there was insufficient evidence to support the need for this to be incorporated</w:t>
      </w:r>
      <w:r w:rsidR="001531A0" w:rsidRPr="00AA1EB0">
        <w:rPr>
          <w:rFonts w:ascii="Arial" w:hAnsi="Arial" w:cs="Arial"/>
          <w:color w:val="000000" w:themeColor="text1"/>
        </w:rPr>
        <w:t xml:space="preserve">. </w:t>
      </w:r>
    </w:p>
    <w:p w14:paraId="0AE5B2EF" w14:textId="77777777" w:rsidR="00D25469" w:rsidRDefault="00D25469" w:rsidP="003A3BEE">
      <w:pPr>
        <w:pStyle w:val="ListParagraph"/>
        <w:spacing w:after="0" w:line="300" w:lineRule="atLeast"/>
        <w:ind w:left="0"/>
        <w:rPr>
          <w:rFonts w:ascii="Arial" w:hAnsi="Arial" w:cs="Arial"/>
          <w:color w:val="000000" w:themeColor="text1"/>
        </w:rPr>
      </w:pPr>
    </w:p>
    <w:p w14:paraId="3DE4BAF9" w14:textId="34482AD6" w:rsidR="00D25469" w:rsidRPr="00AA1EB0" w:rsidRDefault="00D25469" w:rsidP="003A3BEE">
      <w:pPr>
        <w:numPr>
          <w:ilvl w:val="0"/>
          <w:numId w:val="2"/>
        </w:numPr>
        <w:spacing w:after="0" w:line="300" w:lineRule="atLeast"/>
        <w:ind w:left="0" w:firstLine="0"/>
        <w:contextualSpacing/>
        <w:rPr>
          <w:rFonts w:ascii="Arial" w:hAnsi="Arial" w:cs="Arial"/>
          <w:color w:val="000000" w:themeColor="text1"/>
        </w:rPr>
      </w:pPr>
      <w:r>
        <w:rPr>
          <w:rFonts w:ascii="Arial" w:hAnsi="Arial" w:cs="Arial"/>
          <w:color w:val="000000" w:themeColor="text1"/>
        </w:rPr>
        <w:t xml:space="preserve">IDAP also considered the inclusion of interdisciplinary </w:t>
      </w:r>
      <w:r w:rsidR="000C4CE4">
        <w:rPr>
          <w:rFonts w:ascii="Arial" w:hAnsi="Arial" w:cs="Arial"/>
          <w:color w:val="000000" w:themeColor="text1"/>
        </w:rPr>
        <w:t>‘</w:t>
      </w:r>
      <w:r>
        <w:rPr>
          <w:rFonts w:ascii="Arial" w:hAnsi="Arial" w:cs="Arial"/>
          <w:color w:val="000000" w:themeColor="text1"/>
        </w:rPr>
        <w:t>bodies of work</w:t>
      </w:r>
      <w:r w:rsidR="000C4CE4">
        <w:rPr>
          <w:rFonts w:ascii="Arial" w:hAnsi="Arial" w:cs="Arial"/>
          <w:color w:val="000000" w:themeColor="text1"/>
        </w:rPr>
        <w:t>’</w:t>
      </w:r>
      <w:r>
        <w:rPr>
          <w:rFonts w:ascii="Arial" w:hAnsi="Arial" w:cs="Arial"/>
          <w:color w:val="000000" w:themeColor="text1"/>
        </w:rPr>
        <w:t xml:space="preserve"> for impact case studies</w:t>
      </w:r>
      <w:r w:rsidR="0007410D">
        <w:rPr>
          <w:rFonts w:ascii="Arial" w:hAnsi="Arial" w:cs="Arial"/>
          <w:color w:val="000000" w:themeColor="text1"/>
        </w:rPr>
        <w:t xml:space="preserve"> and the need to ensure recognition for the wide variety of activities and broader portfolio of work delivering impact. </w:t>
      </w:r>
      <w:r w:rsidR="0007410D" w:rsidRPr="0007410D">
        <w:rPr>
          <w:rFonts w:ascii="Arial" w:hAnsi="Arial" w:cs="Arial"/>
          <w:color w:val="000000" w:themeColor="text1"/>
        </w:rPr>
        <w:t>The panel noted that</w:t>
      </w:r>
      <w:r w:rsidR="000C4CE4">
        <w:rPr>
          <w:rFonts w:ascii="Arial" w:hAnsi="Arial" w:cs="Arial"/>
          <w:color w:val="000000" w:themeColor="text1"/>
        </w:rPr>
        <w:t>,</w:t>
      </w:r>
      <w:r w:rsidR="0007410D" w:rsidRPr="0007410D">
        <w:rPr>
          <w:rFonts w:ascii="Arial" w:hAnsi="Arial" w:cs="Arial"/>
          <w:color w:val="000000" w:themeColor="text1"/>
        </w:rPr>
        <w:t xml:space="preserve"> although highly relevant to the remit of IDAP, and an issue on which IDAP members were able to contribute, the timing of our involvement meant that </w:t>
      </w:r>
      <w:r w:rsidR="0007410D">
        <w:rPr>
          <w:rFonts w:ascii="Arial" w:hAnsi="Arial" w:cs="Arial"/>
          <w:color w:val="000000" w:themeColor="text1"/>
        </w:rPr>
        <w:t xml:space="preserve">we </w:t>
      </w:r>
      <w:r w:rsidR="000C4CE4">
        <w:rPr>
          <w:rFonts w:ascii="Arial" w:hAnsi="Arial" w:cs="Arial"/>
          <w:color w:val="000000" w:themeColor="text1"/>
        </w:rPr>
        <w:t>we</w:t>
      </w:r>
      <w:r w:rsidR="0007410D">
        <w:rPr>
          <w:rFonts w:ascii="Arial" w:hAnsi="Arial" w:cs="Arial"/>
          <w:color w:val="000000" w:themeColor="text1"/>
        </w:rPr>
        <w:t xml:space="preserve">re not involved </w:t>
      </w:r>
      <w:r w:rsidR="000C4CE4">
        <w:rPr>
          <w:rFonts w:ascii="Arial" w:hAnsi="Arial" w:cs="Arial"/>
          <w:color w:val="000000" w:themeColor="text1"/>
        </w:rPr>
        <w:t xml:space="preserve">sufficiently closely </w:t>
      </w:r>
      <w:r w:rsidR="0007410D">
        <w:rPr>
          <w:rFonts w:ascii="Arial" w:hAnsi="Arial" w:cs="Arial"/>
          <w:color w:val="000000" w:themeColor="text1"/>
        </w:rPr>
        <w:t xml:space="preserve">in the discussions </w:t>
      </w:r>
      <w:r w:rsidR="000C4CE4">
        <w:rPr>
          <w:rFonts w:ascii="Arial" w:hAnsi="Arial" w:cs="Arial"/>
          <w:color w:val="000000" w:themeColor="text1"/>
        </w:rPr>
        <w:t>to influence the development of this area of guidance</w:t>
      </w:r>
      <w:r w:rsidR="0007410D" w:rsidRPr="0007410D">
        <w:rPr>
          <w:rFonts w:ascii="Arial" w:hAnsi="Arial" w:cs="Arial"/>
          <w:color w:val="000000" w:themeColor="text1"/>
        </w:rPr>
        <w:t>.</w:t>
      </w:r>
    </w:p>
    <w:p w14:paraId="1F76FCD3" w14:textId="77777777" w:rsidR="00434CE0" w:rsidRPr="00AA1EB0" w:rsidRDefault="00434CE0" w:rsidP="007B29A2">
      <w:pPr>
        <w:spacing w:after="0" w:line="300" w:lineRule="atLeast"/>
        <w:ind w:left="360"/>
        <w:contextualSpacing/>
        <w:rPr>
          <w:rFonts w:ascii="Arial" w:hAnsi="Arial" w:cs="Arial"/>
          <w:color w:val="000000" w:themeColor="text1"/>
        </w:rPr>
      </w:pPr>
    </w:p>
    <w:p w14:paraId="1EC6CA0D" w14:textId="3DC0B64F" w:rsidR="008731E5" w:rsidRPr="008A4C66" w:rsidRDefault="00434CE0" w:rsidP="008A4C66">
      <w:pPr>
        <w:pStyle w:val="Heading2"/>
        <w:rPr>
          <w:rFonts w:ascii="Arial" w:eastAsia="Times New Roman" w:hAnsi="Arial" w:cs="Arial"/>
          <w:b/>
          <w:color w:val="000000" w:themeColor="text1"/>
          <w:sz w:val="21"/>
          <w:szCs w:val="21"/>
          <w:lang w:eastAsia="en-GB"/>
        </w:rPr>
      </w:pPr>
      <w:bookmarkStart w:id="24" w:name="_Toc3200585"/>
      <w:r w:rsidRPr="008A4C66">
        <w:rPr>
          <w:rFonts w:ascii="Arial" w:eastAsia="Times New Roman" w:hAnsi="Arial" w:cs="Arial"/>
          <w:b/>
          <w:color w:val="000000" w:themeColor="text1"/>
          <w:sz w:val="21"/>
          <w:szCs w:val="21"/>
          <w:lang w:eastAsia="en-GB"/>
        </w:rPr>
        <w:t xml:space="preserve">Panel </w:t>
      </w:r>
      <w:r w:rsidR="00542C31" w:rsidRPr="008A4C66">
        <w:rPr>
          <w:rFonts w:ascii="Arial" w:eastAsia="Times New Roman" w:hAnsi="Arial" w:cs="Arial"/>
          <w:b/>
          <w:color w:val="000000" w:themeColor="text1"/>
          <w:sz w:val="21"/>
          <w:szCs w:val="21"/>
          <w:lang w:eastAsia="en-GB"/>
        </w:rPr>
        <w:t>members’</w:t>
      </w:r>
      <w:r w:rsidRPr="008A4C66">
        <w:rPr>
          <w:rFonts w:ascii="Arial" w:eastAsia="Times New Roman" w:hAnsi="Arial" w:cs="Arial"/>
          <w:b/>
          <w:color w:val="000000" w:themeColor="text1"/>
          <w:sz w:val="21"/>
          <w:szCs w:val="21"/>
          <w:lang w:eastAsia="en-GB"/>
        </w:rPr>
        <w:t xml:space="preserve"> reflections</w:t>
      </w:r>
      <w:bookmarkEnd w:id="24"/>
      <w:r w:rsidRPr="008A4C66">
        <w:rPr>
          <w:rFonts w:ascii="Arial" w:eastAsia="Times New Roman" w:hAnsi="Arial" w:cs="Arial"/>
          <w:b/>
          <w:color w:val="000000" w:themeColor="text1"/>
          <w:sz w:val="21"/>
          <w:szCs w:val="21"/>
          <w:lang w:eastAsia="en-GB"/>
        </w:rPr>
        <w:t xml:space="preserve"> </w:t>
      </w:r>
    </w:p>
    <w:p w14:paraId="4726EFD1" w14:textId="7877A9ED" w:rsidR="00E60764" w:rsidRDefault="00F11206" w:rsidP="003A3BEE">
      <w:pPr>
        <w:pStyle w:val="ListParagraph"/>
        <w:numPr>
          <w:ilvl w:val="0"/>
          <w:numId w:val="2"/>
        </w:numPr>
        <w:spacing w:after="0" w:line="300" w:lineRule="atLeast"/>
        <w:ind w:left="0" w:firstLine="0"/>
        <w:rPr>
          <w:rFonts w:ascii="Arial" w:hAnsi="Arial" w:cs="Arial"/>
          <w:color w:val="000000" w:themeColor="text1"/>
        </w:rPr>
      </w:pPr>
      <w:r>
        <w:rPr>
          <w:rFonts w:ascii="Arial" w:hAnsi="Arial" w:cs="Arial"/>
          <w:color w:val="000000" w:themeColor="text1"/>
        </w:rPr>
        <w:t xml:space="preserve">We were clear </w:t>
      </w:r>
      <w:r w:rsidR="00E60764">
        <w:rPr>
          <w:rFonts w:ascii="Arial" w:hAnsi="Arial" w:cs="Arial"/>
          <w:color w:val="000000" w:themeColor="text1"/>
        </w:rPr>
        <w:t xml:space="preserve">throughout </w:t>
      </w:r>
      <w:r>
        <w:rPr>
          <w:rFonts w:ascii="Arial" w:hAnsi="Arial" w:cs="Arial"/>
          <w:color w:val="000000" w:themeColor="text1"/>
        </w:rPr>
        <w:t xml:space="preserve">our considerations that the research environment is a key issue for IDR, impacting as it does on the opportunities for individual researchers and approach taken both at unit and institution levels. </w:t>
      </w:r>
      <w:r w:rsidR="00E60764">
        <w:rPr>
          <w:rFonts w:ascii="Arial" w:hAnsi="Arial" w:cs="Arial"/>
          <w:color w:val="000000" w:themeColor="text1"/>
        </w:rPr>
        <w:t>As noted earlier in this report, i</w:t>
      </w:r>
      <w:r w:rsidR="00E60764" w:rsidRPr="004272E6">
        <w:rPr>
          <w:rFonts w:ascii="Arial" w:hAnsi="Arial" w:cs="Arial"/>
          <w:color w:val="000000" w:themeColor="text1"/>
        </w:rPr>
        <w:t xml:space="preserve">t is </w:t>
      </w:r>
      <w:r w:rsidR="00E60764">
        <w:rPr>
          <w:rFonts w:ascii="Arial" w:hAnsi="Arial" w:cs="Arial"/>
          <w:color w:val="000000" w:themeColor="text1"/>
        </w:rPr>
        <w:t xml:space="preserve">widely </w:t>
      </w:r>
      <w:r w:rsidR="00E60764" w:rsidRPr="004272E6">
        <w:rPr>
          <w:rFonts w:ascii="Arial" w:hAnsi="Arial" w:cs="Arial"/>
          <w:color w:val="000000" w:themeColor="text1"/>
        </w:rPr>
        <w:t xml:space="preserve">recognised that IDR can </w:t>
      </w:r>
      <w:r w:rsidR="00E60764">
        <w:rPr>
          <w:rFonts w:ascii="Arial" w:hAnsi="Arial" w:cs="Arial"/>
          <w:color w:val="000000" w:themeColor="text1"/>
        </w:rPr>
        <w:t xml:space="preserve">play a valuable role in </w:t>
      </w:r>
      <w:r w:rsidR="00E60764" w:rsidRPr="004272E6">
        <w:rPr>
          <w:rFonts w:ascii="Arial" w:hAnsi="Arial" w:cs="Arial"/>
          <w:color w:val="000000" w:themeColor="text1"/>
        </w:rPr>
        <w:t>address</w:t>
      </w:r>
      <w:r w:rsidR="00E60764">
        <w:rPr>
          <w:rFonts w:ascii="Arial" w:hAnsi="Arial" w:cs="Arial"/>
          <w:color w:val="000000" w:themeColor="text1"/>
        </w:rPr>
        <w:t>ing</w:t>
      </w:r>
      <w:r w:rsidR="00E60764" w:rsidRPr="004272E6">
        <w:rPr>
          <w:rFonts w:ascii="Arial" w:hAnsi="Arial" w:cs="Arial"/>
          <w:color w:val="000000" w:themeColor="text1"/>
        </w:rPr>
        <w:t xml:space="preserve"> complex</w:t>
      </w:r>
      <w:r w:rsidR="00B02396">
        <w:rPr>
          <w:rFonts w:ascii="Arial" w:hAnsi="Arial" w:cs="Arial"/>
          <w:color w:val="000000" w:themeColor="text1"/>
        </w:rPr>
        <w:t xml:space="preserve"> social and environmental (‘</w:t>
      </w:r>
      <w:r w:rsidR="00E60764" w:rsidRPr="004272E6">
        <w:rPr>
          <w:rFonts w:ascii="Arial" w:hAnsi="Arial" w:cs="Arial"/>
          <w:color w:val="000000" w:themeColor="text1"/>
        </w:rPr>
        <w:t>real-wor</w:t>
      </w:r>
      <w:r w:rsidR="001C0825">
        <w:rPr>
          <w:rFonts w:ascii="Arial" w:hAnsi="Arial" w:cs="Arial"/>
          <w:color w:val="000000" w:themeColor="text1"/>
        </w:rPr>
        <w:t>l</w:t>
      </w:r>
      <w:r w:rsidR="00E60764" w:rsidRPr="004272E6">
        <w:rPr>
          <w:rFonts w:ascii="Arial" w:hAnsi="Arial" w:cs="Arial"/>
          <w:color w:val="000000" w:themeColor="text1"/>
        </w:rPr>
        <w:t>d issues</w:t>
      </w:r>
      <w:r w:rsidR="00B02396">
        <w:rPr>
          <w:rFonts w:ascii="Arial" w:hAnsi="Arial" w:cs="Arial"/>
          <w:color w:val="000000" w:themeColor="text1"/>
        </w:rPr>
        <w:t>)</w:t>
      </w:r>
      <w:r w:rsidR="00E60764" w:rsidRPr="004272E6">
        <w:rPr>
          <w:rFonts w:ascii="Arial" w:hAnsi="Arial" w:cs="Arial"/>
          <w:color w:val="000000" w:themeColor="text1"/>
        </w:rPr>
        <w:t xml:space="preserve">, and </w:t>
      </w:r>
      <w:r w:rsidR="00E60764">
        <w:rPr>
          <w:rFonts w:ascii="Arial" w:hAnsi="Arial" w:cs="Arial"/>
          <w:color w:val="000000" w:themeColor="text1"/>
        </w:rPr>
        <w:t xml:space="preserve">indeed </w:t>
      </w:r>
      <w:r w:rsidR="00E60764" w:rsidRPr="004272E6">
        <w:rPr>
          <w:rFonts w:ascii="Arial" w:hAnsi="Arial" w:cs="Arial"/>
          <w:color w:val="000000" w:themeColor="text1"/>
        </w:rPr>
        <w:t>a number of the sub-panels have highlighted that they are inherently interdisciplinary in focus</w:t>
      </w:r>
      <w:r w:rsidR="00E60764">
        <w:rPr>
          <w:rFonts w:ascii="Arial" w:hAnsi="Arial" w:cs="Arial"/>
          <w:color w:val="000000" w:themeColor="text1"/>
        </w:rPr>
        <w:t>.</w:t>
      </w:r>
    </w:p>
    <w:p w14:paraId="73800F2F" w14:textId="77777777" w:rsidR="00E60764" w:rsidRDefault="00E60764" w:rsidP="003A3BEE">
      <w:pPr>
        <w:pStyle w:val="ListParagraph"/>
        <w:spacing w:after="0" w:line="300" w:lineRule="atLeast"/>
        <w:ind w:left="0"/>
        <w:rPr>
          <w:rFonts w:ascii="Arial" w:hAnsi="Arial" w:cs="Arial"/>
          <w:color w:val="000000" w:themeColor="text1"/>
        </w:rPr>
      </w:pPr>
    </w:p>
    <w:p w14:paraId="7893E65A" w14:textId="52066016" w:rsidR="00F11206" w:rsidRDefault="00F11206" w:rsidP="003A3BEE">
      <w:pPr>
        <w:pStyle w:val="ListParagraph"/>
        <w:numPr>
          <w:ilvl w:val="0"/>
          <w:numId w:val="2"/>
        </w:numPr>
        <w:spacing w:after="0" w:line="300" w:lineRule="atLeast"/>
        <w:ind w:left="0" w:firstLine="0"/>
        <w:rPr>
          <w:rFonts w:ascii="Arial" w:hAnsi="Arial" w:cs="Arial"/>
          <w:color w:val="000000" w:themeColor="text1"/>
        </w:rPr>
      </w:pPr>
      <w:r>
        <w:rPr>
          <w:rFonts w:ascii="Arial" w:hAnsi="Arial" w:cs="Arial"/>
          <w:color w:val="000000" w:themeColor="text1"/>
        </w:rPr>
        <w:t xml:space="preserve">On this basis we strongly support the inclusion of IDR as an element of the unit level </w:t>
      </w:r>
      <w:r w:rsidR="00840938">
        <w:rPr>
          <w:rFonts w:ascii="Arial" w:hAnsi="Arial" w:cs="Arial"/>
          <w:color w:val="000000" w:themeColor="text1"/>
        </w:rPr>
        <w:t xml:space="preserve">and institutional environment </w:t>
      </w:r>
      <w:r>
        <w:rPr>
          <w:rFonts w:ascii="Arial" w:hAnsi="Arial" w:cs="Arial"/>
          <w:color w:val="000000" w:themeColor="text1"/>
        </w:rPr>
        <w:t>submission</w:t>
      </w:r>
      <w:r w:rsidR="00D33EDF">
        <w:rPr>
          <w:rFonts w:ascii="Arial" w:hAnsi="Arial" w:cs="Arial"/>
          <w:color w:val="000000" w:themeColor="text1"/>
        </w:rPr>
        <w:t xml:space="preserve">. While we are also clear that this has to be contextual and recognise that this may not be relevant for all submissions, we </w:t>
      </w:r>
      <w:r w:rsidR="00E60764">
        <w:rPr>
          <w:rFonts w:ascii="Arial" w:hAnsi="Arial" w:cs="Arial"/>
          <w:color w:val="000000" w:themeColor="text1"/>
        </w:rPr>
        <w:t xml:space="preserve">consider </w:t>
      </w:r>
      <w:r w:rsidR="00D33EDF">
        <w:rPr>
          <w:rFonts w:ascii="Arial" w:hAnsi="Arial" w:cs="Arial"/>
          <w:color w:val="000000" w:themeColor="text1"/>
        </w:rPr>
        <w:t xml:space="preserve">that this represents a </w:t>
      </w:r>
      <w:r w:rsidR="00E60764">
        <w:rPr>
          <w:rFonts w:ascii="Arial" w:hAnsi="Arial" w:cs="Arial"/>
          <w:color w:val="000000" w:themeColor="text1"/>
        </w:rPr>
        <w:t xml:space="preserve">valuable </w:t>
      </w:r>
      <w:r w:rsidR="00D33EDF">
        <w:rPr>
          <w:rFonts w:ascii="Arial" w:hAnsi="Arial" w:cs="Arial"/>
          <w:color w:val="000000" w:themeColor="text1"/>
        </w:rPr>
        <w:t xml:space="preserve">opportunity to gain </w:t>
      </w:r>
      <w:r>
        <w:rPr>
          <w:rFonts w:ascii="Arial" w:hAnsi="Arial" w:cs="Arial"/>
          <w:color w:val="000000" w:themeColor="text1"/>
        </w:rPr>
        <w:t xml:space="preserve">greater insight into the </w:t>
      </w:r>
      <w:r w:rsidR="00D33EDF">
        <w:rPr>
          <w:rFonts w:ascii="Arial" w:hAnsi="Arial" w:cs="Arial"/>
          <w:color w:val="000000" w:themeColor="text1"/>
        </w:rPr>
        <w:t xml:space="preserve">structural underpinnings and support for IDR. </w:t>
      </w:r>
    </w:p>
    <w:p w14:paraId="6F8E2D39" w14:textId="77777777" w:rsidR="00D33EDF" w:rsidRDefault="00D33EDF" w:rsidP="003A3BEE">
      <w:pPr>
        <w:pStyle w:val="ListParagraph"/>
        <w:spacing w:after="0" w:line="300" w:lineRule="atLeast"/>
        <w:ind w:left="0"/>
        <w:rPr>
          <w:rFonts w:ascii="Arial" w:hAnsi="Arial" w:cs="Arial"/>
          <w:color w:val="000000" w:themeColor="text1"/>
        </w:rPr>
      </w:pPr>
    </w:p>
    <w:p w14:paraId="5702F091" w14:textId="2FA75B69" w:rsidR="00EB4B83" w:rsidRDefault="00D33EDF" w:rsidP="003A3BEE">
      <w:pPr>
        <w:pStyle w:val="ListParagraph"/>
        <w:numPr>
          <w:ilvl w:val="0"/>
          <w:numId w:val="2"/>
        </w:numPr>
        <w:spacing w:after="0" w:line="300" w:lineRule="atLeast"/>
        <w:ind w:left="0" w:firstLine="0"/>
        <w:rPr>
          <w:rFonts w:ascii="Arial" w:hAnsi="Arial" w:cs="Arial"/>
          <w:color w:val="000000" w:themeColor="text1"/>
        </w:rPr>
      </w:pPr>
      <w:r>
        <w:rPr>
          <w:rFonts w:ascii="Arial" w:hAnsi="Arial" w:cs="Arial"/>
          <w:color w:val="000000" w:themeColor="text1"/>
        </w:rPr>
        <w:t xml:space="preserve">A particular point of interest for IDAP was </w:t>
      </w:r>
      <w:r w:rsidR="00E60764">
        <w:rPr>
          <w:rFonts w:ascii="Arial" w:hAnsi="Arial" w:cs="Arial"/>
          <w:color w:val="000000" w:themeColor="text1"/>
        </w:rPr>
        <w:t xml:space="preserve">the way </w:t>
      </w:r>
      <w:r w:rsidR="001C0825">
        <w:rPr>
          <w:rFonts w:ascii="Arial" w:hAnsi="Arial" w:cs="Arial"/>
          <w:color w:val="000000" w:themeColor="text1"/>
        </w:rPr>
        <w:t>in which</w:t>
      </w:r>
      <w:r w:rsidR="00E60764">
        <w:rPr>
          <w:rFonts w:ascii="Arial" w:hAnsi="Arial" w:cs="Arial"/>
          <w:color w:val="000000" w:themeColor="text1"/>
        </w:rPr>
        <w:t xml:space="preserve"> the</w:t>
      </w:r>
      <w:r w:rsidR="005B5A34">
        <w:rPr>
          <w:rFonts w:ascii="Arial" w:hAnsi="Arial" w:cs="Arial"/>
          <w:color w:val="000000" w:themeColor="text1"/>
        </w:rPr>
        <w:t xml:space="preserve"> </w:t>
      </w:r>
      <w:r w:rsidR="00E6114D">
        <w:rPr>
          <w:rFonts w:ascii="Arial" w:hAnsi="Arial" w:cs="Arial"/>
          <w:color w:val="000000" w:themeColor="text1"/>
        </w:rPr>
        <w:t xml:space="preserve">research </w:t>
      </w:r>
      <w:r w:rsidR="005B5A34">
        <w:rPr>
          <w:rFonts w:ascii="Arial" w:hAnsi="Arial" w:cs="Arial"/>
          <w:color w:val="000000" w:themeColor="text1"/>
        </w:rPr>
        <w:t>environment</w:t>
      </w:r>
      <w:r>
        <w:rPr>
          <w:rFonts w:ascii="Arial" w:hAnsi="Arial" w:cs="Arial"/>
          <w:color w:val="000000" w:themeColor="text1"/>
        </w:rPr>
        <w:t xml:space="preserve"> </w:t>
      </w:r>
      <w:r w:rsidR="00E6114D">
        <w:rPr>
          <w:rFonts w:ascii="Arial" w:hAnsi="Arial" w:cs="Arial"/>
          <w:color w:val="000000" w:themeColor="text1"/>
        </w:rPr>
        <w:t>affects</w:t>
      </w:r>
      <w:r w:rsidR="00E60764">
        <w:rPr>
          <w:rFonts w:ascii="Arial" w:hAnsi="Arial" w:cs="Arial"/>
          <w:color w:val="000000" w:themeColor="text1"/>
        </w:rPr>
        <w:t xml:space="preserve"> and influences </w:t>
      </w:r>
      <w:r>
        <w:rPr>
          <w:rFonts w:ascii="Arial" w:hAnsi="Arial" w:cs="Arial"/>
          <w:color w:val="000000" w:themeColor="text1"/>
        </w:rPr>
        <w:t>groups such as early career researchers</w:t>
      </w:r>
      <w:r w:rsidR="005B5A34">
        <w:rPr>
          <w:rFonts w:ascii="Arial" w:hAnsi="Arial" w:cs="Arial"/>
          <w:color w:val="000000" w:themeColor="text1"/>
        </w:rPr>
        <w:t xml:space="preserve"> </w:t>
      </w:r>
      <w:r w:rsidR="000C4CE4">
        <w:rPr>
          <w:rFonts w:ascii="Arial" w:hAnsi="Arial" w:cs="Arial"/>
          <w:color w:val="000000" w:themeColor="text1"/>
        </w:rPr>
        <w:t xml:space="preserve">(ECRs) </w:t>
      </w:r>
      <w:r w:rsidR="00E60764">
        <w:rPr>
          <w:rFonts w:ascii="Arial" w:hAnsi="Arial" w:cs="Arial"/>
          <w:color w:val="000000" w:themeColor="text1"/>
        </w:rPr>
        <w:t xml:space="preserve">in </w:t>
      </w:r>
      <w:r w:rsidR="005B5A34">
        <w:rPr>
          <w:rFonts w:ascii="Arial" w:hAnsi="Arial" w:cs="Arial"/>
          <w:color w:val="000000" w:themeColor="text1"/>
        </w:rPr>
        <w:t xml:space="preserve">their opportunities and choices </w:t>
      </w:r>
      <w:r w:rsidR="00E60764">
        <w:rPr>
          <w:rFonts w:ascii="Arial" w:hAnsi="Arial" w:cs="Arial"/>
          <w:color w:val="000000" w:themeColor="text1"/>
        </w:rPr>
        <w:t xml:space="preserve">in </w:t>
      </w:r>
      <w:r w:rsidR="005B5A34">
        <w:rPr>
          <w:rFonts w:ascii="Arial" w:hAnsi="Arial" w:cs="Arial"/>
          <w:color w:val="000000" w:themeColor="text1"/>
        </w:rPr>
        <w:t xml:space="preserve">undertaking IDR, and </w:t>
      </w:r>
      <w:r w:rsidR="00E60764">
        <w:rPr>
          <w:rFonts w:ascii="Arial" w:hAnsi="Arial" w:cs="Arial"/>
          <w:color w:val="000000" w:themeColor="text1"/>
        </w:rPr>
        <w:t xml:space="preserve">in the </w:t>
      </w:r>
      <w:r w:rsidR="005B5A34">
        <w:rPr>
          <w:rFonts w:ascii="Arial" w:hAnsi="Arial" w:cs="Arial"/>
          <w:color w:val="000000" w:themeColor="text1"/>
        </w:rPr>
        <w:t>development of their careers</w:t>
      </w:r>
      <w:r w:rsidR="00EB4B83">
        <w:rPr>
          <w:rFonts w:ascii="Arial" w:hAnsi="Arial" w:cs="Arial"/>
          <w:color w:val="000000" w:themeColor="text1"/>
        </w:rPr>
        <w:t>.</w:t>
      </w:r>
      <w:r w:rsidR="005B5A34">
        <w:rPr>
          <w:rFonts w:ascii="Arial" w:hAnsi="Arial" w:cs="Arial"/>
          <w:color w:val="000000" w:themeColor="text1"/>
        </w:rPr>
        <w:t xml:space="preserve"> We hope that the work of IDAP will help </w:t>
      </w:r>
      <w:r w:rsidR="00E60764">
        <w:rPr>
          <w:rFonts w:ascii="Arial" w:hAnsi="Arial" w:cs="Arial"/>
          <w:color w:val="000000" w:themeColor="text1"/>
        </w:rPr>
        <w:t>further</w:t>
      </w:r>
      <w:r w:rsidR="001C0825">
        <w:rPr>
          <w:rFonts w:ascii="Arial" w:hAnsi="Arial" w:cs="Arial"/>
          <w:color w:val="000000" w:themeColor="text1"/>
        </w:rPr>
        <w:t xml:space="preserve"> to</w:t>
      </w:r>
      <w:r w:rsidR="00E60764">
        <w:rPr>
          <w:rFonts w:ascii="Arial" w:hAnsi="Arial" w:cs="Arial"/>
          <w:color w:val="000000" w:themeColor="text1"/>
        </w:rPr>
        <w:t xml:space="preserve"> </w:t>
      </w:r>
      <w:r w:rsidR="005B5A34">
        <w:rPr>
          <w:rFonts w:ascii="Arial" w:hAnsi="Arial" w:cs="Arial"/>
          <w:color w:val="000000" w:themeColor="text1"/>
        </w:rPr>
        <w:t xml:space="preserve">underpin IDR as a </w:t>
      </w:r>
      <w:r w:rsidR="00E60764">
        <w:rPr>
          <w:rFonts w:ascii="Arial" w:hAnsi="Arial" w:cs="Arial"/>
          <w:color w:val="000000" w:themeColor="text1"/>
        </w:rPr>
        <w:t>recognis</w:t>
      </w:r>
      <w:r w:rsidR="005B5A34">
        <w:rPr>
          <w:rFonts w:ascii="Arial" w:hAnsi="Arial" w:cs="Arial"/>
          <w:color w:val="000000" w:themeColor="text1"/>
        </w:rPr>
        <w:t xml:space="preserve">ed and valued aspect of </w:t>
      </w:r>
      <w:r w:rsidR="00E60764">
        <w:rPr>
          <w:rFonts w:ascii="Arial" w:hAnsi="Arial" w:cs="Arial"/>
          <w:color w:val="000000" w:themeColor="text1"/>
        </w:rPr>
        <w:t>academic endeavor</w:t>
      </w:r>
      <w:r w:rsidR="00C4501F">
        <w:rPr>
          <w:rFonts w:ascii="Arial" w:hAnsi="Arial" w:cs="Arial"/>
          <w:color w:val="000000" w:themeColor="text1"/>
        </w:rPr>
        <w:t>, giving confidence to ECRs that such research is exciting and powerful</w:t>
      </w:r>
      <w:r w:rsidR="00E60764">
        <w:rPr>
          <w:rFonts w:ascii="Arial" w:hAnsi="Arial" w:cs="Arial"/>
          <w:color w:val="000000" w:themeColor="text1"/>
        </w:rPr>
        <w:t xml:space="preserve">. </w:t>
      </w:r>
    </w:p>
    <w:p w14:paraId="26CA7ABF" w14:textId="77777777" w:rsidR="00EB4B83" w:rsidRPr="00EB4B83" w:rsidRDefault="00EB4B83" w:rsidP="003A3BEE">
      <w:pPr>
        <w:pStyle w:val="ListParagraph"/>
        <w:spacing w:after="0" w:line="300" w:lineRule="atLeast"/>
        <w:ind w:left="0"/>
        <w:rPr>
          <w:rFonts w:ascii="Arial" w:hAnsi="Arial" w:cs="Arial"/>
          <w:color w:val="000000" w:themeColor="text1"/>
        </w:rPr>
      </w:pPr>
    </w:p>
    <w:p w14:paraId="0D24E730" w14:textId="2DB08B76" w:rsidR="00D33EDF" w:rsidRDefault="00840938" w:rsidP="003A3BEE">
      <w:pPr>
        <w:pStyle w:val="ListParagraph"/>
        <w:numPr>
          <w:ilvl w:val="0"/>
          <w:numId w:val="2"/>
        </w:numPr>
        <w:spacing w:after="0" w:line="300" w:lineRule="atLeast"/>
        <w:ind w:left="0" w:firstLine="0"/>
        <w:rPr>
          <w:rFonts w:ascii="Arial" w:hAnsi="Arial" w:cs="Arial"/>
          <w:color w:val="000000" w:themeColor="text1"/>
        </w:rPr>
      </w:pPr>
      <w:r>
        <w:rPr>
          <w:rFonts w:ascii="Arial" w:hAnsi="Arial" w:cs="Arial"/>
          <w:color w:val="000000" w:themeColor="text1"/>
        </w:rPr>
        <w:t xml:space="preserve">Although </w:t>
      </w:r>
      <w:r w:rsidR="00EB4B83">
        <w:rPr>
          <w:rFonts w:ascii="Arial" w:hAnsi="Arial" w:cs="Arial"/>
          <w:color w:val="000000" w:themeColor="text1"/>
        </w:rPr>
        <w:t xml:space="preserve">we did not consider that there was sufficient evidence to support the </w:t>
      </w:r>
      <w:r>
        <w:rPr>
          <w:rFonts w:ascii="Arial" w:hAnsi="Arial" w:cs="Arial"/>
          <w:color w:val="000000" w:themeColor="text1"/>
        </w:rPr>
        <w:t xml:space="preserve">requirement for </w:t>
      </w:r>
      <w:r w:rsidR="00EB4B83">
        <w:rPr>
          <w:rFonts w:ascii="Arial" w:hAnsi="Arial" w:cs="Arial"/>
          <w:color w:val="000000" w:themeColor="text1"/>
        </w:rPr>
        <w:t>institution level</w:t>
      </w:r>
      <w:r w:rsidR="001C0825">
        <w:rPr>
          <w:rFonts w:ascii="Arial" w:hAnsi="Arial" w:cs="Arial"/>
          <w:color w:val="000000" w:themeColor="text1"/>
        </w:rPr>
        <w:t xml:space="preserve"> impact</w:t>
      </w:r>
      <w:r w:rsidR="00EB4B83">
        <w:rPr>
          <w:rFonts w:ascii="Arial" w:hAnsi="Arial" w:cs="Arial"/>
          <w:color w:val="000000" w:themeColor="text1"/>
        </w:rPr>
        <w:t xml:space="preserve"> case-studies</w:t>
      </w:r>
      <w:r>
        <w:rPr>
          <w:rFonts w:ascii="Arial" w:hAnsi="Arial" w:cs="Arial"/>
          <w:color w:val="000000" w:themeColor="text1"/>
        </w:rPr>
        <w:t>,</w:t>
      </w:r>
      <w:r w:rsidR="00EB4B83">
        <w:rPr>
          <w:rFonts w:ascii="Arial" w:hAnsi="Arial" w:cs="Arial"/>
          <w:color w:val="000000" w:themeColor="text1"/>
        </w:rPr>
        <w:t xml:space="preserve"> as had been proposed</w:t>
      </w:r>
      <w:r w:rsidR="001C0825">
        <w:rPr>
          <w:rFonts w:ascii="Arial" w:hAnsi="Arial" w:cs="Arial"/>
          <w:color w:val="000000" w:themeColor="text1"/>
        </w:rPr>
        <w:t xml:space="preserve"> in the Stern Review</w:t>
      </w:r>
      <w:r w:rsidR="00EB4B83">
        <w:rPr>
          <w:rFonts w:ascii="Arial" w:hAnsi="Arial" w:cs="Arial"/>
          <w:color w:val="000000" w:themeColor="text1"/>
        </w:rPr>
        <w:t xml:space="preserve">, we do wish to note </w:t>
      </w:r>
      <w:r>
        <w:rPr>
          <w:rFonts w:ascii="Arial" w:hAnsi="Arial" w:cs="Arial"/>
          <w:color w:val="000000" w:themeColor="text1"/>
        </w:rPr>
        <w:t xml:space="preserve">IDAP’s interest </w:t>
      </w:r>
      <w:r w:rsidR="00EB4B83">
        <w:rPr>
          <w:rFonts w:ascii="Arial" w:hAnsi="Arial" w:cs="Arial"/>
          <w:color w:val="000000" w:themeColor="text1"/>
        </w:rPr>
        <w:t xml:space="preserve">in the interdisciplinary </w:t>
      </w:r>
      <w:r w:rsidR="005B5A34">
        <w:rPr>
          <w:rFonts w:ascii="Arial" w:hAnsi="Arial" w:cs="Arial"/>
          <w:color w:val="000000" w:themeColor="text1"/>
        </w:rPr>
        <w:t xml:space="preserve">aspects of case studies. </w:t>
      </w:r>
    </w:p>
    <w:p w14:paraId="758F6BE1" w14:textId="29BB4ACF" w:rsidR="00B8558E" w:rsidRPr="004272E6" w:rsidRDefault="00B8558E" w:rsidP="003A3BEE">
      <w:pPr>
        <w:pStyle w:val="ListParagraph"/>
        <w:spacing w:after="0" w:line="300" w:lineRule="atLeast"/>
        <w:ind w:left="0"/>
        <w:rPr>
          <w:rFonts w:ascii="Arial" w:hAnsi="Arial" w:cs="Arial"/>
          <w:color w:val="000000" w:themeColor="text1"/>
        </w:rPr>
      </w:pPr>
    </w:p>
    <w:p w14:paraId="04519DCA" w14:textId="620A710A" w:rsidR="00326998" w:rsidRPr="004272E6" w:rsidRDefault="00B8558E" w:rsidP="003A3BEE">
      <w:pPr>
        <w:pStyle w:val="ListParagraph"/>
        <w:numPr>
          <w:ilvl w:val="0"/>
          <w:numId w:val="2"/>
        </w:numPr>
        <w:spacing w:after="0" w:line="300" w:lineRule="atLeast"/>
        <w:ind w:left="0" w:firstLine="0"/>
        <w:rPr>
          <w:rFonts w:ascii="Arial" w:hAnsi="Arial" w:cs="Arial"/>
          <w:color w:val="000000" w:themeColor="text1"/>
        </w:rPr>
      </w:pPr>
      <w:r w:rsidRPr="004272E6">
        <w:rPr>
          <w:rFonts w:ascii="Arial" w:hAnsi="Arial" w:cs="Arial"/>
          <w:color w:val="000000" w:themeColor="text1"/>
        </w:rPr>
        <w:t>Whil</w:t>
      </w:r>
      <w:r w:rsidR="00840938">
        <w:rPr>
          <w:rFonts w:ascii="Arial" w:hAnsi="Arial" w:cs="Arial"/>
          <w:color w:val="000000" w:themeColor="text1"/>
        </w:rPr>
        <w:t>e</w:t>
      </w:r>
      <w:r w:rsidRPr="004272E6">
        <w:rPr>
          <w:rFonts w:ascii="Arial" w:hAnsi="Arial" w:cs="Arial"/>
          <w:color w:val="000000" w:themeColor="text1"/>
        </w:rPr>
        <w:t xml:space="preserve"> we felt that </w:t>
      </w:r>
      <w:r w:rsidR="004272E6" w:rsidRPr="004272E6">
        <w:rPr>
          <w:rFonts w:ascii="Arial" w:hAnsi="Arial" w:cs="Arial"/>
          <w:color w:val="000000" w:themeColor="text1"/>
        </w:rPr>
        <w:t xml:space="preserve">we were unable </w:t>
      </w:r>
      <w:r w:rsidRPr="004272E6">
        <w:rPr>
          <w:rFonts w:ascii="Arial" w:hAnsi="Arial" w:cs="Arial"/>
          <w:color w:val="000000" w:themeColor="text1"/>
        </w:rPr>
        <w:t xml:space="preserve">to </w:t>
      </w:r>
      <w:r w:rsidR="004272E6" w:rsidRPr="004272E6">
        <w:rPr>
          <w:rFonts w:ascii="Arial" w:hAnsi="Arial" w:cs="Arial"/>
          <w:color w:val="000000" w:themeColor="text1"/>
        </w:rPr>
        <w:t xml:space="preserve">support a standard </w:t>
      </w:r>
      <w:r w:rsidR="009017D3">
        <w:rPr>
          <w:rFonts w:ascii="Arial" w:hAnsi="Arial" w:cs="Arial"/>
          <w:color w:val="000000" w:themeColor="text1"/>
        </w:rPr>
        <w:t xml:space="preserve">‘set’ of </w:t>
      </w:r>
      <w:r w:rsidR="004272E6" w:rsidRPr="004272E6">
        <w:rPr>
          <w:rFonts w:ascii="Arial" w:hAnsi="Arial" w:cs="Arial"/>
          <w:color w:val="000000" w:themeColor="text1"/>
        </w:rPr>
        <w:t>indicator</w:t>
      </w:r>
      <w:r w:rsidR="009017D3">
        <w:rPr>
          <w:rFonts w:ascii="Arial" w:hAnsi="Arial" w:cs="Arial"/>
          <w:color w:val="000000" w:themeColor="text1"/>
        </w:rPr>
        <w:t xml:space="preserve">s </w:t>
      </w:r>
      <w:r w:rsidR="004272E6" w:rsidRPr="004272E6">
        <w:rPr>
          <w:rFonts w:ascii="Arial" w:hAnsi="Arial" w:cs="Arial"/>
          <w:color w:val="000000" w:themeColor="text1"/>
        </w:rPr>
        <w:t xml:space="preserve">for IDR, </w:t>
      </w:r>
      <w:r w:rsidR="00E60764">
        <w:rPr>
          <w:rFonts w:ascii="Arial" w:hAnsi="Arial" w:cs="Arial"/>
          <w:color w:val="000000" w:themeColor="text1"/>
        </w:rPr>
        <w:t xml:space="preserve">we fully </w:t>
      </w:r>
      <w:r w:rsidRPr="004272E6">
        <w:rPr>
          <w:rFonts w:ascii="Arial" w:hAnsi="Arial" w:cs="Arial"/>
          <w:color w:val="000000" w:themeColor="text1"/>
        </w:rPr>
        <w:t xml:space="preserve">support the principles </w:t>
      </w:r>
      <w:r w:rsidR="004272E6" w:rsidRPr="004272E6">
        <w:rPr>
          <w:rFonts w:ascii="Arial" w:hAnsi="Arial" w:cs="Arial"/>
          <w:color w:val="000000" w:themeColor="text1"/>
        </w:rPr>
        <w:t xml:space="preserve">for </w:t>
      </w:r>
      <w:r w:rsidR="00E60764">
        <w:rPr>
          <w:rFonts w:ascii="Arial" w:hAnsi="Arial" w:cs="Arial"/>
          <w:color w:val="000000" w:themeColor="text1"/>
        </w:rPr>
        <w:t xml:space="preserve">use of indicators </w:t>
      </w:r>
      <w:r w:rsidRPr="004272E6">
        <w:rPr>
          <w:rFonts w:ascii="Arial" w:hAnsi="Arial" w:cs="Arial"/>
          <w:color w:val="000000" w:themeColor="text1"/>
        </w:rPr>
        <w:t>issued by the Forum for Responsible Research Metrics</w:t>
      </w:r>
      <w:r w:rsidR="00E60764">
        <w:rPr>
          <w:rFonts w:ascii="Arial" w:hAnsi="Arial" w:cs="Arial"/>
          <w:color w:val="000000" w:themeColor="text1"/>
        </w:rPr>
        <w:t xml:space="preserve">. We </w:t>
      </w:r>
      <w:r w:rsidRPr="004272E6">
        <w:rPr>
          <w:rFonts w:ascii="Arial" w:hAnsi="Arial" w:cs="Arial"/>
          <w:color w:val="000000" w:themeColor="text1"/>
        </w:rPr>
        <w:t xml:space="preserve">strongly encourage the use of appropriate quantitative indicators to support the narrative submissions for both institution and unit level environment submissions. </w:t>
      </w:r>
    </w:p>
    <w:p w14:paraId="784EFC67" w14:textId="77777777" w:rsidR="004272E6" w:rsidRPr="004272E6" w:rsidRDefault="004272E6" w:rsidP="007B29A2">
      <w:pPr>
        <w:spacing w:after="0" w:line="300" w:lineRule="atLeast"/>
        <w:rPr>
          <w:rFonts w:ascii="Arial" w:hAnsi="Arial" w:cs="Arial"/>
        </w:rPr>
      </w:pPr>
    </w:p>
    <w:p w14:paraId="14AD58BC" w14:textId="080DDD7E" w:rsidR="00AF6350" w:rsidRPr="008A4C66" w:rsidRDefault="00922189" w:rsidP="0034062C">
      <w:pPr>
        <w:pStyle w:val="Heading2"/>
        <w:rPr>
          <w:rFonts w:ascii="Arial" w:eastAsia="Times New Roman" w:hAnsi="Arial" w:cs="Arial"/>
          <w:b/>
          <w:color w:val="000000" w:themeColor="text1"/>
          <w:sz w:val="21"/>
          <w:szCs w:val="21"/>
          <w:lang w:eastAsia="en-GB"/>
        </w:rPr>
      </w:pPr>
      <w:bookmarkStart w:id="25" w:name="_Toc3200586"/>
      <w:r w:rsidRPr="008A4C66">
        <w:rPr>
          <w:rFonts w:ascii="Arial" w:eastAsia="Times New Roman" w:hAnsi="Arial" w:cs="Arial"/>
          <w:b/>
          <w:color w:val="000000" w:themeColor="text1"/>
          <w:sz w:val="21"/>
          <w:szCs w:val="21"/>
          <w:lang w:eastAsia="en-GB"/>
        </w:rPr>
        <w:t>Assessment phase</w:t>
      </w:r>
      <w:r w:rsidR="00D20AD6" w:rsidRPr="008A4C66">
        <w:rPr>
          <w:rFonts w:ascii="Arial" w:eastAsia="Times New Roman" w:hAnsi="Arial" w:cs="Arial"/>
          <w:b/>
          <w:color w:val="000000" w:themeColor="text1"/>
          <w:sz w:val="21"/>
          <w:szCs w:val="21"/>
          <w:lang w:eastAsia="en-GB"/>
        </w:rPr>
        <w:t xml:space="preserve"> working</w:t>
      </w:r>
      <w:r w:rsidRPr="008A4C66">
        <w:rPr>
          <w:rFonts w:ascii="Arial" w:eastAsia="Times New Roman" w:hAnsi="Arial" w:cs="Arial"/>
          <w:b/>
          <w:color w:val="000000" w:themeColor="text1"/>
          <w:sz w:val="21"/>
          <w:szCs w:val="21"/>
          <w:lang w:eastAsia="en-GB"/>
        </w:rPr>
        <w:t xml:space="preserve"> methods </w:t>
      </w:r>
      <w:r w:rsidR="00D20AD6" w:rsidRPr="008A4C66">
        <w:rPr>
          <w:rFonts w:ascii="Arial" w:eastAsia="Times New Roman" w:hAnsi="Arial" w:cs="Arial"/>
          <w:b/>
          <w:color w:val="000000" w:themeColor="text1"/>
          <w:sz w:val="21"/>
          <w:szCs w:val="21"/>
          <w:lang w:eastAsia="en-GB"/>
        </w:rPr>
        <w:t>and implementation</w:t>
      </w:r>
      <w:bookmarkEnd w:id="25"/>
      <w:r w:rsidR="00D20AD6" w:rsidRPr="008A4C66">
        <w:rPr>
          <w:rFonts w:ascii="Arial" w:eastAsia="Times New Roman" w:hAnsi="Arial" w:cs="Arial"/>
          <w:b/>
          <w:color w:val="000000" w:themeColor="text1"/>
          <w:sz w:val="21"/>
          <w:szCs w:val="21"/>
          <w:lang w:eastAsia="en-GB"/>
        </w:rPr>
        <w:t xml:space="preserve"> </w:t>
      </w:r>
    </w:p>
    <w:p w14:paraId="1355319C" w14:textId="756E1560" w:rsidR="004272E6" w:rsidRPr="001930BF" w:rsidRDefault="00A4013D" w:rsidP="003A3BEE">
      <w:pPr>
        <w:pStyle w:val="ListParagraph"/>
        <w:numPr>
          <w:ilvl w:val="0"/>
          <w:numId w:val="2"/>
        </w:numPr>
        <w:spacing w:after="0" w:line="300" w:lineRule="atLeast"/>
        <w:ind w:left="0" w:firstLine="0"/>
        <w:rPr>
          <w:rFonts w:ascii="Arial" w:hAnsi="Arial" w:cs="Arial"/>
          <w:color w:val="000000" w:themeColor="text1"/>
        </w:rPr>
      </w:pPr>
      <w:r>
        <w:rPr>
          <w:rFonts w:ascii="Arial" w:hAnsi="Arial" w:cs="Arial"/>
          <w:color w:val="000000" w:themeColor="text1"/>
        </w:rPr>
        <w:t>Following the work of the panel during the criteria development</w:t>
      </w:r>
      <w:r w:rsidR="008169B1">
        <w:rPr>
          <w:rFonts w:ascii="Arial" w:hAnsi="Arial" w:cs="Arial"/>
          <w:color w:val="000000" w:themeColor="text1"/>
        </w:rPr>
        <w:t xml:space="preserve"> phase</w:t>
      </w:r>
      <w:r>
        <w:rPr>
          <w:rFonts w:ascii="Arial" w:hAnsi="Arial" w:cs="Arial"/>
          <w:color w:val="000000" w:themeColor="text1"/>
        </w:rPr>
        <w:t xml:space="preserve">, the role of </w:t>
      </w:r>
      <w:r w:rsidR="00B8558E" w:rsidRPr="001930BF">
        <w:rPr>
          <w:rFonts w:ascii="Arial" w:hAnsi="Arial" w:cs="Arial"/>
          <w:color w:val="000000" w:themeColor="text1"/>
        </w:rPr>
        <w:t xml:space="preserve">IDAP going into the assessment phase will change </w:t>
      </w:r>
      <w:r w:rsidR="004272E6" w:rsidRPr="001930BF">
        <w:rPr>
          <w:rFonts w:ascii="Arial" w:hAnsi="Arial" w:cs="Arial"/>
          <w:color w:val="000000" w:themeColor="text1"/>
        </w:rPr>
        <w:t>significantly</w:t>
      </w:r>
      <w:r>
        <w:rPr>
          <w:rFonts w:ascii="Arial" w:hAnsi="Arial" w:cs="Arial"/>
          <w:color w:val="000000" w:themeColor="text1"/>
        </w:rPr>
        <w:t>. O</w:t>
      </w:r>
      <w:r w:rsidR="004272E6" w:rsidRPr="001930BF">
        <w:rPr>
          <w:rFonts w:ascii="Arial" w:hAnsi="Arial" w:cs="Arial"/>
          <w:color w:val="000000" w:themeColor="text1"/>
        </w:rPr>
        <w:t xml:space="preserve">ur role </w:t>
      </w:r>
      <w:r w:rsidR="00B8558E" w:rsidRPr="001930BF">
        <w:rPr>
          <w:rFonts w:ascii="Arial" w:hAnsi="Arial" w:cs="Arial"/>
          <w:color w:val="000000" w:themeColor="text1"/>
        </w:rPr>
        <w:t xml:space="preserve">will move from </w:t>
      </w:r>
      <w:r>
        <w:rPr>
          <w:rFonts w:ascii="Arial" w:hAnsi="Arial" w:cs="Arial"/>
          <w:color w:val="000000" w:themeColor="text1"/>
        </w:rPr>
        <w:t xml:space="preserve">being </w:t>
      </w:r>
      <w:r w:rsidR="00B8558E" w:rsidRPr="001930BF">
        <w:rPr>
          <w:rFonts w:ascii="Arial" w:hAnsi="Arial" w:cs="Arial"/>
          <w:color w:val="000000" w:themeColor="text1"/>
        </w:rPr>
        <w:t xml:space="preserve">developmental </w:t>
      </w:r>
      <w:r w:rsidR="004272E6" w:rsidRPr="001930BF">
        <w:rPr>
          <w:rFonts w:ascii="Arial" w:hAnsi="Arial" w:cs="Arial"/>
          <w:color w:val="000000" w:themeColor="text1"/>
        </w:rPr>
        <w:t>and advisory</w:t>
      </w:r>
      <w:r w:rsidR="00B8558E" w:rsidRPr="001930BF">
        <w:rPr>
          <w:rFonts w:ascii="Arial" w:hAnsi="Arial" w:cs="Arial"/>
          <w:color w:val="000000" w:themeColor="text1"/>
        </w:rPr>
        <w:t xml:space="preserve">, to </w:t>
      </w:r>
      <w:r w:rsidR="004272E6" w:rsidRPr="001930BF">
        <w:rPr>
          <w:rFonts w:ascii="Arial" w:hAnsi="Arial" w:cs="Arial"/>
          <w:color w:val="000000" w:themeColor="text1"/>
        </w:rPr>
        <w:t xml:space="preserve">one more </w:t>
      </w:r>
      <w:r w:rsidR="00B8558E" w:rsidRPr="001930BF">
        <w:rPr>
          <w:rFonts w:ascii="Arial" w:hAnsi="Arial" w:cs="Arial"/>
          <w:color w:val="000000" w:themeColor="text1"/>
        </w:rPr>
        <w:t>focused on overs</w:t>
      </w:r>
      <w:r w:rsidR="004272E6" w:rsidRPr="001930BF">
        <w:rPr>
          <w:rFonts w:ascii="Arial" w:hAnsi="Arial" w:cs="Arial"/>
          <w:color w:val="000000" w:themeColor="text1"/>
        </w:rPr>
        <w:t xml:space="preserve">ight and </w:t>
      </w:r>
      <w:r w:rsidR="00B8558E" w:rsidRPr="001930BF">
        <w:rPr>
          <w:rFonts w:ascii="Arial" w:hAnsi="Arial" w:cs="Arial"/>
          <w:color w:val="000000" w:themeColor="text1"/>
        </w:rPr>
        <w:t xml:space="preserve">assurance </w:t>
      </w:r>
      <w:r w:rsidR="004272E6" w:rsidRPr="001930BF">
        <w:rPr>
          <w:rFonts w:ascii="Arial" w:hAnsi="Arial" w:cs="Arial"/>
          <w:color w:val="000000" w:themeColor="text1"/>
        </w:rPr>
        <w:t xml:space="preserve">of the </w:t>
      </w:r>
      <w:r w:rsidR="00B8558E" w:rsidRPr="001930BF">
        <w:rPr>
          <w:rFonts w:ascii="Arial" w:hAnsi="Arial" w:cs="Arial"/>
          <w:color w:val="000000" w:themeColor="text1"/>
        </w:rPr>
        <w:t>application of agreed process</w:t>
      </w:r>
      <w:r w:rsidR="004272E6" w:rsidRPr="001930BF">
        <w:rPr>
          <w:rFonts w:ascii="Arial" w:hAnsi="Arial" w:cs="Arial"/>
          <w:color w:val="000000" w:themeColor="text1"/>
        </w:rPr>
        <w:t>es for IDR assessment</w:t>
      </w:r>
      <w:r w:rsidR="00B8558E" w:rsidRPr="001930BF">
        <w:rPr>
          <w:rFonts w:ascii="Arial" w:hAnsi="Arial" w:cs="Arial"/>
          <w:color w:val="000000" w:themeColor="text1"/>
        </w:rPr>
        <w:t>. IDAP will observe process, gather and review evidence, and undertake evaluation.</w:t>
      </w:r>
    </w:p>
    <w:p w14:paraId="56A73C57" w14:textId="0C8074FB" w:rsidR="004272E6" w:rsidRPr="001930BF" w:rsidRDefault="004272E6" w:rsidP="003A3BEE">
      <w:pPr>
        <w:pStyle w:val="ListParagraph"/>
        <w:spacing w:after="0" w:line="300" w:lineRule="atLeast"/>
        <w:ind w:left="0"/>
        <w:rPr>
          <w:rFonts w:ascii="Arial" w:hAnsi="Arial" w:cs="Arial"/>
          <w:color w:val="000000" w:themeColor="text1"/>
        </w:rPr>
      </w:pPr>
    </w:p>
    <w:p w14:paraId="24FEA2DD" w14:textId="4E650EE1" w:rsidR="00B8558E" w:rsidRPr="001930BF" w:rsidRDefault="00A4013D" w:rsidP="003A3BEE">
      <w:pPr>
        <w:pStyle w:val="ListParagraph"/>
        <w:numPr>
          <w:ilvl w:val="0"/>
          <w:numId w:val="2"/>
        </w:numPr>
        <w:spacing w:after="0" w:line="300" w:lineRule="atLeast"/>
        <w:ind w:left="0" w:firstLine="0"/>
        <w:rPr>
          <w:rFonts w:ascii="Arial" w:hAnsi="Arial" w:cs="Arial"/>
          <w:color w:val="000000" w:themeColor="text1"/>
        </w:rPr>
      </w:pPr>
      <w:r w:rsidRPr="001930BF">
        <w:rPr>
          <w:rFonts w:ascii="Arial" w:hAnsi="Arial" w:cs="Arial"/>
          <w:color w:val="000000" w:themeColor="text1"/>
        </w:rPr>
        <w:t xml:space="preserve">IDAP will undertake an ambassadorial role through the submission phase, in order to inform and provide confidence to HEIs. </w:t>
      </w:r>
      <w:r w:rsidR="00B8558E" w:rsidRPr="001930BF">
        <w:rPr>
          <w:rFonts w:ascii="Arial" w:hAnsi="Arial" w:cs="Arial"/>
          <w:color w:val="000000" w:themeColor="text1"/>
        </w:rPr>
        <w:t xml:space="preserve">IDAP </w:t>
      </w:r>
      <w:r w:rsidR="008169B1">
        <w:rPr>
          <w:rFonts w:ascii="Arial" w:hAnsi="Arial" w:cs="Arial"/>
          <w:color w:val="000000" w:themeColor="text1"/>
        </w:rPr>
        <w:t>will</w:t>
      </w:r>
      <w:r w:rsidR="00B8558E" w:rsidRPr="001930BF">
        <w:rPr>
          <w:rFonts w:ascii="Arial" w:hAnsi="Arial" w:cs="Arial"/>
          <w:color w:val="000000" w:themeColor="text1"/>
        </w:rPr>
        <w:t xml:space="preserve"> provide advice </w:t>
      </w:r>
      <w:r>
        <w:rPr>
          <w:rFonts w:ascii="Arial" w:hAnsi="Arial" w:cs="Arial"/>
          <w:color w:val="000000" w:themeColor="text1"/>
        </w:rPr>
        <w:t xml:space="preserve">to </w:t>
      </w:r>
      <w:r w:rsidR="00B8558E" w:rsidRPr="001930BF">
        <w:rPr>
          <w:rFonts w:ascii="Arial" w:hAnsi="Arial" w:cs="Arial"/>
          <w:color w:val="000000" w:themeColor="text1"/>
        </w:rPr>
        <w:t xml:space="preserve">and engage </w:t>
      </w:r>
      <w:r w:rsidR="008169B1">
        <w:rPr>
          <w:rFonts w:ascii="Arial" w:hAnsi="Arial" w:cs="Arial"/>
          <w:color w:val="000000" w:themeColor="text1"/>
        </w:rPr>
        <w:t xml:space="preserve">regularly </w:t>
      </w:r>
      <w:r w:rsidR="00B8558E" w:rsidRPr="001930BF">
        <w:rPr>
          <w:rFonts w:ascii="Arial" w:hAnsi="Arial" w:cs="Arial"/>
          <w:color w:val="000000" w:themeColor="text1"/>
        </w:rPr>
        <w:t xml:space="preserve">with the IDR network and main and sub-panel members </w:t>
      </w:r>
      <w:r w:rsidR="008169B1">
        <w:rPr>
          <w:rFonts w:ascii="Arial" w:hAnsi="Arial" w:cs="Arial"/>
          <w:color w:val="000000" w:themeColor="text1"/>
        </w:rPr>
        <w:t>on</w:t>
      </w:r>
      <w:r>
        <w:rPr>
          <w:rFonts w:ascii="Arial" w:hAnsi="Arial" w:cs="Arial"/>
          <w:color w:val="000000" w:themeColor="text1"/>
        </w:rPr>
        <w:t xml:space="preserve"> the</w:t>
      </w:r>
      <w:r w:rsidR="00B8558E" w:rsidRPr="001930BF">
        <w:rPr>
          <w:rFonts w:ascii="Arial" w:hAnsi="Arial" w:cs="Arial"/>
          <w:color w:val="000000" w:themeColor="text1"/>
        </w:rPr>
        <w:t xml:space="preserve"> application of </w:t>
      </w:r>
      <w:r w:rsidR="008169B1">
        <w:rPr>
          <w:rFonts w:ascii="Arial" w:hAnsi="Arial" w:cs="Arial"/>
          <w:color w:val="000000" w:themeColor="text1"/>
        </w:rPr>
        <w:t xml:space="preserve">the agreed </w:t>
      </w:r>
      <w:r w:rsidR="00B8558E" w:rsidRPr="001930BF">
        <w:rPr>
          <w:rFonts w:ascii="Arial" w:hAnsi="Arial" w:cs="Arial"/>
          <w:color w:val="000000" w:themeColor="text1"/>
        </w:rPr>
        <w:t>process</w:t>
      </w:r>
      <w:r w:rsidR="008169B1">
        <w:rPr>
          <w:rFonts w:ascii="Arial" w:hAnsi="Arial" w:cs="Arial"/>
          <w:color w:val="000000" w:themeColor="text1"/>
        </w:rPr>
        <w:t>es</w:t>
      </w:r>
      <w:r>
        <w:rPr>
          <w:rFonts w:ascii="Arial" w:hAnsi="Arial" w:cs="Arial"/>
          <w:color w:val="000000" w:themeColor="text1"/>
        </w:rPr>
        <w:t>,</w:t>
      </w:r>
      <w:r w:rsidR="00B8558E" w:rsidRPr="001930BF">
        <w:rPr>
          <w:rFonts w:ascii="Arial" w:hAnsi="Arial" w:cs="Arial"/>
          <w:color w:val="000000" w:themeColor="text1"/>
        </w:rPr>
        <w:t xml:space="preserve"> and to review progress</w:t>
      </w:r>
      <w:r>
        <w:rPr>
          <w:rFonts w:ascii="Arial" w:hAnsi="Arial" w:cs="Arial"/>
          <w:color w:val="000000" w:themeColor="text1"/>
        </w:rPr>
        <w:t xml:space="preserve"> of IDR assessment throughout </w:t>
      </w:r>
      <w:r w:rsidR="008169B1">
        <w:rPr>
          <w:rFonts w:ascii="Arial" w:hAnsi="Arial" w:cs="Arial"/>
          <w:color w:val="000000" w:themeColor="text1"/>
        </w:rPr>
        <w:t>2021</w:t>
      </w:r>
      <w:r>
        <w:rPr>
          <w:rFonts w:ascii="Arial" w:hAnsi="Arial" w:cs="Arial"/>
          <w:color w:val="000000" w:themeColor="text1"/>
        </w:rPr>
        <w:t>. IDAP will</w:t>
      </w:r>
      <w:r w:rsidR="00B8558E" w:rsidRPr="001930BF">
        <w:rPr>
          <w:rFonts w:ascii="Arial" w:hAnsi="Arial" w:cs="Arial"/>
          <w:color w:val="000000" w:themeColor="text1"/>
        </w:rPr>
        <w:t>, however</w:t>
      </w:r>
      <w:r>
        <w:rPr>
          <w:rFonts w:ascii="Arial" w:hAnsi="Arial" w:cs="Arial"/>
          <w:color w:val="000000" w:themeColor="text1"/>
        </w:rPr>
        <w:t>,</w:t>
      </w:r>
      <w:r w:rsidR="00B8558E" w:rsidRPr="001930BF">
        <w:rPr>
          <w:rFonts w:ascii="Arial" w:hAnsi="Arial" w:cs="Arial"/>
          <w:color w:val="000000" w:themeColor="text1"/>
        </w:rPr>
        <w:t xml:space="preserve"> maintain clear separation from </w:t>
      </w:r>
      <w:r w:rsidR="004272E6">
        <w:rPr>
          <w:rFonts w:ascii="Arial" w:hAnsi="Arial" w:cs="Arial"/>
          <w:color w:val="000000" w:themeColor="text1"/>
        </w:rPr>
        <w:t xml:space="preserve">the </w:t>
      </w:r>
      <w:r w:rsidR="00B8558E" w:rsidRPr="001930BF">
        <w:rPr>
          <w:rFonts w:ascii="Arial" w:hAnsi="Arial" w:cs="Arial"/>
          <w:color w:val="000000" w:themeColor="text1"/>
        </w:rPr>
        <w:t>assessment</w:t>
      </w:r>
      <w:r w:rsidR="008169B1">
        <w:rPr>
          <w:rFonts w:ascii="Arial" w:hAnsi="Arial" w:cs="Arial"/>
          <w:color w:val="000000" w:themeColor="text1"/>
        </w:rPr>
        <w:t xml:space="preserve"> of the individual outputs</w:t>
      </w:r>
      <w:r>
        <w:rPr>
          <w:rFonts w:ascii="Arial" w:hAnsi="Arial" w:cs="Arial"/>
          <w:color w:val="000000" w:themeColor="text1"/>
        </w:rPr>
        <w:t xml:space="preserve"> themselves</w:t>
      </w:r>
      <w:r w:rsidR="00B8558E" w:rsidRPr="001930BF">
        <w:rPr>
          <w:rFonts w:ascii="Arial" w:hAnsi="Arial" w:cs="Arial"/>
          <w:color w:val="000000" w:themeColor="text1"/>
        </w:rPr>
        <w:t xml:space="preserve">. </w:t>
      </w:r>
    </w:p>
    <w:p w14:paraId="1520D2DB" w14:textId="77777777" w:rsidR="00076647" w:rsidRPr="001930BF" w:rsidRDefault="00076647" w:rsidP="003A3BEE">
      <w:pPr>
        <w:pStyle w:val="ListParagraph"/>
        <w:spacing w:after="0" w:line="300" w:lineRule="atLeast"/>
        <w:ind w:left="0"/>
        <w:rPr>
          <w:rFonts w:ascii="Arial" w:hAnsi="Arial" w:cs="Arial"/>
          <w:color w:val="000000" w:themeColor="text1"/>
        </w:rPr>
      </w:pPr>
    </w:p>
    <w:p w14:paraId="283D740A" w14:textId="34011A12" w:rsidR="004272E6" w:rsidRPr="001930BF" w:rsidRDefault="005F2729" w:rsidP="003A3BEE">
      <w:pPr>
        <w:pStyle w:val="ListParagraph"/>
        <w:numPr>
          <w:ilvl w:val="0"/>
          <w:numId w:val="2"/>
        </w:numPr>
        <w:spacing w:after="0" w:line="300" w:lineRule="atLeast"/>
        <w:ind w:left="0" w:firstLine="0"/>
        <w:rPr>
          <w:rFonts w:ascii="Arial" w:hAnsi="Arial" w:cs="Arial"/>
          <w:color w:val="000000" w:themeColor="text1"/>
        </w:rPr>
      </w:pPr>
      <w:r>
        <w:rPr>
          <w:rFonts w:ascii="Arial" w:hAnsi="Arial" w:cs="Arial"/>
          <w:color w:val="000000" w:themeColor="text1"/>
        </w:rPr>
        <w:t xml:space="preserve">Our </w:t>
      </w:r>
      <w:r w:rsidR="00076647" w:rsidRPr="001930BF">
        <w:rPr>
          <w:rFonts w:ascii="Arial" w:hAnsi="Arial" w:cs="Arial"/>
          <w:color w:val="000000" w:themeColor="text1"/>
        </w:rPr>
        <w:t xml:space="preserve">role </w:t>
      </w:r>
      <w:r>
        <w:rPr>
          <w:rFonts w:ascii="Arial" w:hAnsi="Arial" w:cs="Arial"/>
          <w:color w:val="000000" w:themeColor="text1"/>
        </w:rPr>
        <w:t xml:space="preserve">in </w:t>
      </w:r>
      <w:r w:rsidR="00434B77">
        <w:rPr>
          <w:rFonts w:ascii="Arial" w:hAnsi="Arial" w:cs="Arial"/>
          <w:color w:val="000000" w:themeColor="text1"/>
        </w:rPr>
        <w:t xml:space="preserve">the post-exercise </w:t>
      </w:r>
      <w:r w:rsidR="00076647" w:rsidRPr="001930BF">
        <w:rPr>
          <w:rFonts w:ascii="Arial" w:hAnsi="Arial" w:cs="Arial"/>
          <w:color w:val="000000" w:themeColor="text1"/>
        </w:rPr>
        <w:t>evaluation</w:t>
      </w:r>
      <w:r w:rsidR="00434B77">
        <w:rPr>
          <w:rFonts w:ascii="Arial" w:hAnsi="Arial" w:cs="Arial"/>
          <w:color w:val="000000" w:themeColor="text1"/>
        </w:rPr>
        <w:t xml:space="preserve"> will</w:t>
      </w:r>
      <w:r w:rsidR="00076647" w:rsidRPr="001930BF">
        <w:rPr>
          <w:rFonts w:ascii="Arial" w:hAnsi="Arial" w:cs="Arial"/>
          <w:color w:val="000000" w:themeColor="text1"/>
        </w:rPr>
        <w:t xml:space="preserve"> ensure that there is a consistent and continuous body with direct responsibility for</w:t>
      </w:r>
      <w:r w:rsidR="004272E6" w:rsidRPr="001930BF">
        <w:rPr>
          <w:rFonts w:ascii="Arial" w:hAnsi="Arial" w:cs="Arial"/>
          <w:color w:val="000000" w:themeColor="text1"/>
        </w:rPr>
        <w:t>,</w:t>
      </w:r>
      <w:r w:rsidR="00076647" w:rsidRPr="001930BF">
        <w:rPr>
          <w:rFonts w:ascii="Arial" w:hAnsi="Arial" w:cs="Arial"/>
          <w:color w:val="000000" w:themeColor="text1"/>
        </w:rPr>
        <w:t xml:space="preserve"> and understanding of</w:t>
      </w:r>
      <w:r w:rsidR="00434B77">
        <w:rPr>
          <w:rFonts w:ascii="Arial" w:hAnsi="Arial" w:cs="Arial"/>
          <w:color w:val="000000" w:themeColor="text1"/>
        </w:rPr>
        <w:t>,</w:t>
      </w:r>
      <w:r w:rsidR="00076647" w:rsidRPr="001930BF">
        <w:rPr>
          <w:rFonts w:ascii="Arial" w:hAnsi="Arial" w:cs="Arial"/>
          <w:color w:val="000000" w:themeColor="text1"/>
        </w:rPr>
        <w:t xml:space="preserve"> the approaches </w:t>
      </w:r>
      <w:r w:rsidR="00434B77">
        <w:rPr>
          <w:rFonts w:ascii="Arial" w:hAnsi="Arial" w:cs="Arial"/>
          <w:color w:val="000000" w:themeColor="text1"/>
        </w:rPr>
        <w:t>to</w:t>
      </w:r>
      <w:r w:rsidR="00076647" w:rsidRPr="001930BF">
        <w:rPr>
          <w:rFonts w:ascii="Arial" w:hAnsi="Arial" w:cs="Arial"/>
          <w:color w:val="000000" w:themeColor="text1"/>
        </w:rPr>
        <w:t xml:space="preserve"> IDR assessment, and the </w:t>
      </w:r>
      <w:r w:rsidR="004272E6" w:rsidRPr="001930BF">
        <w:rPr>
          <w:rFonts w:ascii="Arial" w:hAnsi="Arial" w:cs="Arial"/>
          <w:color w:val="000000" w:themeColor="text1"/>
        </w:rPr>
        <w:t xml:space="preserve">underlying </w:t>
      </w:r>
      <w:r w:rsidR="00076647" w:rsidRPr="001930BF">
        <w:rPr>
          <w:rFonts w:ascii="Arial" w:hAnsi="Arial" w:cs="Arial"/>
          <w:color w:val="000000" w:themeColor="text1"/>
        </w:rPr>
        <w:t>rationale</w:t>
      </w:r>
      <w:r>
        <w:rPr>
          <w:rFonts w:ascii="Arial" w:hAnsi="Arial" w:cs="Arial"/>
          <w:color w:val="000000" w:themeColor="text1"/>
        </w:rPr>
        <w:t xml:space="preserve"> for this</w:t>
      </w:r>
      <w:r w:rsidR="00076647" w:rsidRPr="001930BF">
        <w:rPr>
          <w:rFonts w:ascii="Arial" w:hAnsi="Arial" w:cs="Arial"/>
          <w:color w:val="000000" w:themeColor="text1"/>
        </w:rPr>
        <w:t xml:space="preserve">. IDAP members see this overall role throughout the REF as providing assurance in process, and giving reassurance </w:t>
      </w:r>
      <w:r w:rsidR="00434B77">
        <w:rPr>
          <w:rFonts w:ascii="Arial" w:hAnsi="Arial" w:cs="Arial"/>
          <w:color w:val="000000" w:themeColor="text1"/>
        </w:rPr>
        <w:t>to</w:t>
      </w:r>
      <w:r w:rsidR="00076647" w:rsidRPr="001930BF">
        <w:rPr>
          <w:rFonts w:ascii="Arial" w:hAnsi="Arial" w:cs="Arial"/>
          <w:color w:val="000000" w:themeColor="text1"/>
        </w:rPr>
        <w:t xml:space="preserve"> the wider community. </w:t>
      </w:r>
    </w:p>
    <w:p w14:paraId="12DFA319" w14:textId="77777777" w:rsidR="004272E6" w:rsidRPr="001930BF" w:rsidRDefault="004272E6" w:rsidP="003A3BEE">
      <w:pPr>
        <w:pStyle w:val="ListParagraph"/>
        <w:spacing w:after="0" w:line="300" w:lineRule="atLeast"/>
        <w:ind w:left="0"/>
        <w:rPr>
          <w:rFonts w:ascii="Arial" w:hAnsi="Arial" w:cs="Arial"/>
          <w:color w:val="000000" w:themeColor="text1"/>
        </w:rPr>
      </w:pPr>
    </w:p>
    <w:p w14:paraId="714C3F2F" w14:textId="4FA02A82" w:rsidR="00076647" w:rsidRPr="001930BF" w:rsidRDefault="00076647" w:rsidP="003A3BEE">
      <w:pPr>
        <w:pStyle w:val="ListParagraph"/>
        <w:numPr>
          <w:ilvl w:val="0"/>
          <w:numId w:val="2"/>
        </w:numPr>
        <w:spacing w:after="0" w:line="300" w:lineRule="atLeast"/>
        <w:ind w:left="0" w:firstLine="0"/>
        <w:rPr>
          <w:rFonts w:ascii="Arial" w:hAnsi="Arial" w:cs="Arial"/>
        </w:rPr>
      </w:pPr>
      <w:r w:rsidRPr="001930BF">
        <w:rPr>
          <w:rFonts w:ascii="Arial" w:hAnsi="Arial" w:cs="Arial"/>
          <w:color w:val="000000" w:themeColor="text1"/>
        </w:rPr>
        <w:t xml:space="preserve">This </w:t>
      </w:r>
      <w:r w:rsidR="00322DAB">
        <w:rPr>
          <w:rFonts w:ascii="Arial" w:hAnsi="Arial" w:cs="Arial"/>
          <w:color w:val="000000" w:themeColor="text1"/>
        </w:rPr>
        <w:t xml:space="preserve">approach </w:t>
      </w:r>
      <w:r w:rsidRPr="001930BF">
        <w:rPr>
          <w:rFonts w:ascii="Arial" w:hAnsi="Arial" w:cs="Arial"/>
          <w:color w:val="000000" w:themeColor="text1"/>
        </w:rPr>
        <w:t xml:space="preserve">demonstrates an ongoing commitment to </w:t>
      </w:r>
      <w:r w:rsidR="004272E6" w:rsidRPr="001930BF">
        <w:rPr>
          <w:rFonts w:ascii="Arial" w:hAnsi="Arial" w:cs="Arial"/>
          <w:color w:val="000000" w:themeColor="text1"/>
        </w:rPr>
        <w:t xml:space="preserve">the </w:t>
      </w:r>
      <w:r w:rsidRPr="001930BF">
        <w:rPr>
          <w:rFonts w:ascii="Arial" w:hAnsi="Arial" w:cs="Arial"/>
          <w:color w:val="000000" w:themeColor="text1"/>
        </w:rPr>
        <w:t xml:space="preserve">recognition </w:t>
      </w:r>
      <w:r w:rsidR="004272E6" w:rsidRPr="001930BF">
        <w:rPr>
          <w:rFonts w:ascii="Arial" w:hAnsi="Arial" w:cs="Arial"/>
          <w:color w:val="000000" w:themeColor="text1"/>
        </w:rPr>
        <w:t xml:space="preserve">of the value, and </w:t>
      </w:r>
      <w:r w:rsidRPr="001930BF">
        <w:rPr>
          <w:rFonts w:ascii="Arial" w:hAnsi="Arial" w:cs="Arial"/>
          <w:color w:val="000000" w:themeColor="text1"/>
        </w:rPr>
        <w:t>equitable assessment of IDR in the REF</w:t>
      </w:r>
      <w:r w:rsidR="00CC46DC">
        <w:rPr>
          <w:rFonts w:ascii="Arial" w:hAnsi="Arial" w:cs="Arial"/>
          <w:color w:val="000000" w:themeColor="text1"/>
        </w:rPr>
        <w:t>,</w:t>
      </w:r>
      <w:r w:rsidRPr="001930BF">
        <w:rPr>
          <w:rFonts w:ascii="Arial" w:hAnsi="Arial" w:cs="Arial"/>
          <w:color w:val="000000" w:themeColor="text1"/>
        </w:rPr>
        <w:t xml:space="preserve"> ensuring that there are clear mechanisms to support the assessment and </w:t>
      </w:r>
      <w:r w:rsidR="00CC46DC">
        <w:rPr>
          <w:rFonts w:ascii="Arial" w:hAnsi="Arial" w:cs="Arial"/>
          <w:color w:val="000000" w:themeColor="text1"/>
        </w:rPr>
        <w:t>evaluate</w:t>
      </w:r>
      <w:r w:rsidRPr="001930BF">
        <w:rPr>
          <w:rFonts w:ascii="Arial" w:hAnsi="Arial" w:cs="Arial"/>
          <w:color w:val="000000" w:themeColor="text1"/>
        </w:rPr>
        <w:t xml:space="preserve"> its effectiveness. This will enable recommendations </w:t>
      </w:r>
      <w:r w:rsidR="004272E6" w:rsidRPr="001930BF">
        <w:rPr>
          <w:rFonts w:ascii="Arial" w:hAnsi="Arial" w:cs="Arial"/>
          <w:color w:val="000000" w:themeColor="text1"/>
        </w:rPr>
        <w:t xml:space="preserve">concerning </w:t>
      </w:r>
      <w:r w:rsidRPr="001930BF">
        <w:rPr>
          <w:rFonts w:ascii="Arial" w:hAnsi="Arial" w:cs="Arial"/>
          <w:color w:val="000000" w:themeColor="text1"/>
        </w:rPr>
        <w:t>IDR for future REF exercises to be made on the basis of direct experience, arising from a considered and planned approach.</w:t>
      </w:r>
      <w:r>
        <w:rPr>
          <w:rFonts w:ascii="Arial" w:hAnsi="Arial" w:cs="Arial"/>
        </w:rPr>
        <w:t xml:space="preserve"> </w:t>
      </w:r>
    </w:p>
    <w:p w14:paraId="0E664BB6" w14:textId="77777777" w:rsidR="004272E6" w:rsidRDefault="004272E6" w:rsidP="007B29A2">
      <w:pPr>
        <w:spacing w:after="0" w:line="300" w:lineRule="atLeast"/>
        <w:rPr>
          <w:rFonts w:ascii="Arial" w:eastAsia="Times New Roman" w:hAnsi="Arial" w:cs="Arial"/>
          <w:b/>
          <w:color w:val="000000" w:themeColor="text1"/>
          <w:lang w:eastAsia="en-GB"/>
        </w:rPr>
      </w:pPr>
    </w:p>
    <w:p w14:paraId="7FF3C29E" w14:textId="0171C6E5" w:rsidR="00487D18" w:rsidRPr="00AA1EB0" w:rsidRDefault="00487D18" w:rsidP="0034062C">
      <w:pPr>
        <w:pStyle w:val="Heading2"/>
        <w:rPr>
          <w:rFonts w:ascii="Arial" w:eastAsia="Times New Roman" w:hAnsi="Arial" w:cs="Arial"/>
          <w:color w:val="000000" w:themeColor="text1"/>
          <w:sz w:val="21"/>
          <w:szCs w:val="21"/>
          <w:lang w:eastAsia="en-GB"/>
        </w:rPr>
      </w:pPr>
      <w:bookmarkStart w:id="26" w:name="_Toc3200587"/>
      <w:r w:rsidRPr="00AA1EB0">
        <w:rPr>
          <w:rFonts w:ascii="Arial" w:eastAsia="Times New Roman" w:hAnsi="Arial" w:cs="Arial"/>
          <w:b/>
          <w:color w:val="000000" w:themeColor="text1"/>
          <w:sz w:val="21"/>
          <w:szCs w:val="21"/>
          <w:lang w:eastAsia="en-GB"/>
        </w:rPr>
        <w:t>Support for IDR measures through REF 2021 and IDAP’s future role:</w:t>
      </w:r>
      <w:bookmarkEnd w:id="26"/>
      <w:r w:rsidRPr="00AA1EB0">
        <w:rPr>
          <w:rFonts w:ascii="Arial" w:eastAsia="Times New Roman" w:hAnsi="Arial" w:cs="Arial"/>
          <w:color w:val="000000" w:themeColor="text1"/>
          <w:sz w:val="21"/>
          <w:szCs w:val="21"/>
          <w:lang w:eastAsia="en-GB"/>
        </w:rPr>
        <w:t xml:space="preserve"> </w:t>
      </w:r>
    </w:p>
    <w:p w14:paraId="36905D84" w14:textId="327540AA" w:rsidR="00487D18" w:rsidRPr="00AA1EB0" w:rsidRDefault="00487D18" w:rsidP="003A3BEE">
      <w:pPr>
        <w:numPr>
          <w:ilvl w:val="0"/>
          <w:numId w:val="2"/>
        </w:numPr>
        <w:spacing w:after="0" w:line="300" w:lineRule="atLeast"/>
        <w:ind w:left="0" w:firstLine="0"/>
        <w:contextualSpacing/>
        <w:rPr>
          <w:rFonts w:ascii="Arial" w:hAnsi="Arial" w:cs="Arial"/>
        </w:rPr>
      </w:pPr>
      <w:r w:rsidRPr="00AA1EB0">
        <w:rPr>
          <w:rFonts w:ascii="Arial" w:hAnsi="Arial" w:cs="Arial"/>
        </w:rPr>
        <w:t>IDAP was asked to consider what measures should be put in place throughout the submission and assessment phases of the REF.</w:t>
      </w:r>
      <w:r w:rsidR="00B4565B" w:rsidRPr="00AA1EB0">
        <w:rPr>
          <w:rFonts w:ascii="Arial" w:hAnsi="Arial" w:cs="Arial"/>
        </w:rPr>
        <w:t xml:space="preserve"> </w:t>
      </w:r>
      <w:r w:rsidRPr="00AA1EB0">
        <w:rPr>
          <w:rFonts w:ascii="Arial" w:hAnsi="Arial" w:cs="Arial"/>
        </w:rPr>
        <w:t xml:space="preserve">In forming our advice we were asked to consider if, within the structures of the panels and based on our recommendations to date, there would be sufficient support for the assessment of IDR. We were also </w:t>
      </w:r>
      <w:r w:rsidR="001575E4" w:rsidRPr="00AA1EB0">
        <w:rPr>
          <w:rFonts w:ascii="Arial" w:hAnsi="Arial" w:cs="Arial"/>
        </w:rPr>
        <w:t xml:space="preserve">asked </w:t>
      </w:r>
      <w:r w:rsidRPr="00AA1EB0">
        <w:rPr>
          <w:rFonts w:ascii="Arial" w:hAnsi="Arial" w:cs="Arial"/>
        </w:rPr>
        <w:t xml:space="preserve">to provide advice as to whether we considered there is a useful ongoing role for a body such as IDAP through the later phases of the exercise. </w:t>
      </w:r>
    </w:p>
    <w:p w14:paraId="5E910B27" w14:textId="77777777" w:rsidR="00487D18" w:rsidRPr="00AA1EB0" w:rsidRDefault="00487D18" w:rsidP="003A3BEE">
      <w:pPr>
        <w:spacing w:after="0" w:line="300" w:lineRule="atLeast"/>
        <w:contextualSpacing/>
        <w:rPr>
          <w:rFonts w:ascii="Arial" w:hAnsi="Arial" w:cs="Arial"/>
        </w:rPr>
      </w:pPr>
    </w:p>
    <w:p w14:paraId="7D65CAB4" w14:textId="46FB3BBF" w:rsidR="00487D18" w:rsidRPr="00AA1EB0" w:rsidRDefault="00487D18" w:rsidP="003A3BEE">
      <w:pPr>
        <w:numPr>
          <w:ilvl w:val="0"/>
          <w:numId w:val="2"/>
        </w:numPr>
        <w:spacing w:after="0" w:line="300" w:lineRule="atLeast"/>
        <w:ind w:left="0" w:firstLine="0"/>
        <w:contextualSpacing/>
        <w:rPr>
          <w:rFonts w:ascii="Arial" w:hAnsi="Arial" w:cs="Arial"/>
        </w:rPr>
      </w:pPr>
      <w:r w:rsidRPr="00AA1EB0">
        <w:rPr>
          <w:rFonts w:ascii="Arial" w:hAnsi="Arial" w:cs="Arial"/>
        </w:rPr>
        <w:t xml:space="preserve">Taken as a whole, we </w:t>
      </w:r>
      <w:r w:rsidR="00AA1EB0">
        <w:rPr>
          <w:rFonts w:ascii="Arial" w:hAnsi="Arial" w:cs="Arial"/>
        </w:rPr>
        <w:t>believe</w:t>
      </w:r>
      <w:r w:rsidR="00AA1EB0" w:rsidRPr="00AA1EB0">
        <w:rPr>
          <w:rFonts w:ascii="Arial" w:hAnsi="Arial" w:cs="Arial"/>
        </w:rPr>
        <w:t xml:space="preserve"> </w:t>
      </w:r>
      <w:r w:rsidRPr="00AA1EB0">
        <w:rPr>
          <w:rFonts w:ascii="Arial" w:hAnsi="Arial" w:cs="Arial"/>
        </w:rPr>
        <w:t>that the proposed approach present</w:t>
      </w:r>
      <w:r w:rsidR="00AA1EB0">
        <w:rPr>
          <w:rFonts w:ascii="Arial" w:hAnsi="Arial" w:cs="Arial"/>
        </w:rPr>
        <w:t>s</w:t>
      </w:r>
      <w:r w:rsidRPr="00AA1EB0">
        <w:rPr>
          <w:rFonts w:ascii="Arial" w:hAnsi="Arial" w:cs="Arial"/>
        </w:rPr>
        <w:t xml:space="preserve"> a robust foundation for the assessment of IDR, which supports and recognises the need for specific consideration, but which does not segregate IDR from the main business of assessment. It constitutes a consistent and cohesive approach to undertaking assessment across the sub-panels, underpinned by collaborative working across the panels through the adviser network. The work of the sub-panels and the communication between IDR Advisers through the </w:t>
      </w:r>
      <w:r w:rsidR="00AD1ECD">
        <w:rPr>
          <w:rFonts w:ascii="Arial" w:hAnsi="Arial" w:cs="Arial"/>
        </w:rPr>
        <w:t>IDR</w:t>
      </w:r>
      <w:r w:rsidRPr="00AA1EB0">
        <w:rPr>
          <w:rFonts w:ascii="Arial" w:hAnsi="Arial" w:cs="Arial"/>
        </w:rPr>
        <w:t xml:space="preserve"> network is itself supported by the main panel IDR members. </w:t>
      </w:r>
    </w:p>
    <w:p w14:paraId="451E5F0A" w14:textId="77777777" w:rsidR="00487D18" w:rsidRPr="00AA1EB0" w:rsidRDefault="00487D18" w:rsidP="003A3BEE">
      <w:pPr>
        <w:spacing w:after="0" w:line="300" w:lineRule="atLeast"/>
        <w:contextualSpacing/>
        <w:rPr>
          <w:rFonts w:ascii="Arial" w:hAnsi="Arial" w:cs="Arial"/>
        </w:rPr>
      </w:pPr>
    </w:p>
    <w:p w14:paraId="3930E204" w14:textId="2B59936D" w:rsidR="005F183A" w:rsidRPr="00AA1EB0" w:rsidRDefault="00487D18" w:rsidP="003A3BEE">
      <w:pPr>
        <w:numPr>
          <w:ilvl w:val="0"/>
          <w:numId w:val="2"/>
        </w:numPr>
        <w:spacing w:after="0" w:line="300" w:lineRule="atLeast"/>
        <w:ind w:left="0" w:firstLine="0"/>
        <w:contextualSpacing/>
        <w:rPr>
          <w:rFonts w:ascii="Arial" w:hAnsi="Arial" w:cs="Arial"/>
        </w:rPr>
      </w:pPr>
      <w:r w:rsidRPr="00AA1EB0">
        <w:rPr>
          <w:rFonts w:ascii="Arial" w:hAnsi="Arial" w:cs="Arial"/>
        </w:rPr>
        <w:t xml:space="preserve">In order to achieve a cohesive and consistent whole we </w:t>
      </w:r>
      <w:r w:rsidR="00271AEC" w:rsidRPr="00AA1EB0">
        <w:rPr>
          <w:rFonts w:ascii="Arial" w:hAnsi="Arial" w:cs="Arial"/>
        </w:rPr>
        <w:t>recommend</w:t>
      </w:r>
      <w:r w:rsidRPr="00AA1EB0">
        <w:rPr>
          <w:rFonts w:ascii="Arial" w:hAnsi="Arial" w:cs="Arial"/>
        </w:rPr>
        <w:t xml:space="preserve"> </w:t>
      </w:r>
      <w:r w:rsidR="00AA1EB0">
        <w:rPr>
          <w:rFonts w:ascii="Arial" w:hAnsi="Arial" w:cs="Arial"/>
        </w:rPr>
        <w:t xml:space="preserve">that </w:t>
      </w:r>
      <w:r w:rsidRPr="00AA1EB0">
        <w:rPr>
          <w:rFonts w:ascii="Arial" w:hAnsi="Arial" w:cs="Arial"/>
        </w:rPr>
        <w:t>IDAP continu</w:t>
      </w:r>
      <w:r w:rsidR="00AA1EB0">
        <w:rPr>
          <w:rFonts w:ascii="Arial" w:hAnsi="Arial" w:cs="Arial"/>
        </w:rPr>
        <w:t>e</w:t>
      </w:r>
      <w:r w:rsidRPr="00AA1EB0">
        <w:rPr>
          <w:rFonts w:ascii="Arial" w:hAnsi="Arial" w:cs="Arial"/>
        </w:rPr>
        <w:t xml:space="preserve"> as a body with oversight of, but not directly involved in the assessment of IDR</w:t>
      </w:r>
      <w:r w:rsidR="00271AEC" w:rsidRPr="00AA1EB0">
        <w:rPr>
          <w:rFonts w:ascii="Arial" w:hAnsi="Arial" w:cs="Arial"/>
        </w:rPr>
        <w:t xml:space="preserve"> and </w:t>
      </w:r>
      <w:r w:rsidR="00005E4E">
        <w:rPr>
          <w:rFonts w:ascii="Arial" w:hAnsi="Arial" w:cs="Arial"/>
        </w:rPr>
        <w:t xml:space="preserve">that we </w:t>
      </w:r>
      <w:r w:rsidR="00271AEC" w:rsidRPr="00AA1EB0">
        <w:rPr>
          <w:rFonts w:ascii="Arial" w:hAnsi="Arial" w:cs="Arial"/>
        </w:rPr>
        <w:t>work closely with the ID</w:t>
      </w:r>
      <w:r w:rsidR="00AA1EB0">
        <w:rPr>
          <w:rFonts w:ascii="Arial" w:hAnsi="Arial" w:cs="Arial"/>
        </w:rPr>
        <w:t>R n</w:t>
      </w:r>
      <w:r w:rsidR="00271AEC" w:rsidRPr="00AA1EB0">
        <w:rPr>
          <w:rFonts w:ascii="Arial" w:hAnsi="Arial" w:cs="Arial"/>
        </w:rPr>
        <w:t>etwork</w:t>
      </w:r>
      <w:r w:rsidRPr="00AA1EB0">
        <w:rPr>
          <w:rFonts w:ascii="Arial" w:hAnsi="Arial" w:cs="Arial"/>
        </w:rPr>
        <w:t xml:space="preserve">. </w:t>
      </w:r>
      <w:r w:rsidR="00AA1EB0">
        <w:rPr>
          <w:rFonts w:ascii="Arial" w:hAnsi="Arial" w:cs="Arial"/>
        </w:rPr>
        <w:t>In the assessment phase, t</w:t>
      </w:r>
      <w:r w:rsidR="00AA1EB0" w:rsidRPr="00AA1EB0">
        <w:rPr>
          <w:rFonts w:ascii="Arial" w:hAnsi="Arial" w:cs="Arial"/>
        </w:rPr>
        <w:t xml:space="preserve">his </w:t>
      </w:r>
      <w:r w:rsidRPr="00AA1EB0">
        <w:rPr>
          <w:rFonts w:ascii="Arial" w:hAnsi="Arial" w:cs="Arial"/>
        </w:rPr>
        <w:t xml:space="preserve">panel </w:t>
      </w:r>
      <w:r w:rsidR="00AA1EB0">
        <w:rPr>
          <w:rFonts w:ascii="Arial" w:hAnsi="Arial" w:cs="Arial"/>
        </w:rPr>
        <w:t>will</w:t>
      </w:r>
      <w:r w:rsidR="00AA1EB0" w:rsidRPr="00AA1EB0">
        <w:rPr>
          <w:rFonts w:ascii="Arial" w:hAnsi="Arial" w:cs="Arial"/>
        </w:rPr>
        <w:t xml:space="preserve"> </w:t>
      </w:r>
      <w:r w:rsidRPr="00AA1EB0">
        <w:rPr>
          <w:rFonts w:ascii="Arial" w:hAnsi="Arial" w:cs="Arial"/>
        </w:rPr>
        <w:t>provide high-level oversight of IDR assessment and the application of process, a forum for discussion of issues arising, and an expert advisory body to provide guidance on the application of the process for assessment</w:t>
      </w:r>
      <w:r w:rsidR="00005E4E">
        <w:rPr>
          <w:rFonts w:ascii="Arial" w:hAnsi="Arial" w:cs="Arial"/>
        </w:rPr>
        <w:t xml:space="preserve"> monitoring consistency across the board</w:t>
      </w:r>
      <w:r w:rsidRPr="00AA1EB0">
        <w:rPr>
          <w:rFonts w:ascii="Arial" w:hAnsi="Arial" w:cs="Arial"/>
        </w:rPr>
        <w:t xml:space="preserve">. </w:t>
      </w:r>
      <w:r w:rsidR="001C0F9A">
        <w:rPr>
          <w:rFonts w:ascii="Arial" w:hAnsi="Arial" w:cs="Arial"/>
        </w:rPr>
        <w:t xml:space="preserve">IDAP will also take a lead on </w:t>
      </w:r>
      <w:r w:rsidR="000C4CE4">
        <w:rPr>
          <w:rFonts w:ascii="Arial" w:hAnsi="Arial" w:cs="Arial"/>
        </w:rPr>
        <w:t>analysis</w:t>
      </w:r>
      <w:r w:rsidR="00034D91">
        <w:rPr>
          <w:rFonts w:ascii="Arial" w:hAnsi="Arial" w:cs="Arial"/>
        </w:rPr>
        <w:t xml:space="preserve"> of IDR within the REF, reviewing the effectiveness of the overall approach and processes for the assessment of IDR.</w:t>
      </w:r>
    </w:p>
    <w:p w14:paraId="0B9898CA" w14:textId="77777777" w:rsidR="00487D18" w:rsidRPr="00AA1EB0" w:rsidRDefault="00487D18" w:rsidP="003A3BEE">
      <w:pPr>
        <w:spacing w:after="0" w:line="300" w:lineRule="atLeast"/>
        <w:contextualSpacing/>
        <w:rPr>
          <w:rFonts w:ascii="Arial" w:hAnsi="Arial" w:cs="Arial"/>
        </w:rPr>
      </w:pPr>
    </w:p>
    <w:p w14:paraId="782A40F7" w14:textId="55A9C8D1" w:rsidR="00487D18" w:rsidRPr="00AA1EB0" w:rsidRDefault="005F183A" w:rsidP="003A3BEE">
      <w:pPr>
        <w:numPr>
          <w:ilvl w:val="0"/>
          <w:numId w:val="2"/>
        </w:numPr>
        <w:spacing w:after="0" w:line="300" w:lineRule="atLeast"/>
        <w:ind w:left="0" w:firstLine="0"/>
        <w:contextualSpacing/>
        <w:rPr>
          <w:rFonts w:ascii="Arial" w:hAnsi="Arial" w:cs="Arial"/>
        </w:rPr>
      </w:pPr>
      <w:r w:rsidRPr="00AA1EB0">
        <w:rPr>
          <w:rFonts w:ascii="Arial" w:hAnsi="Arial" w:cs="Arial"/>
        </w:rPr>
        <w:t>IDAP members considered that t</w:t>
      </w:r>
      <w:r w:rsidR="00487D18" w:rsidRPr="00AA1EB0">
        <w:rPr>
          <w:rFonts w:ascii="Arial" w:hAnsi="Arial" w:cs="Arial"/>
        </w:rPr>
        <w:t xml:space="preserve">he work of the sub-panels and the IDR network </w:t>
      </w:r>
      <w:r w:rsidRPr="00AA1EB0">
        <w:rPr>
          <w:rFonts w:ascii="Arial" w:hAnsi="Arial" w:cs="Arial"/>
        </w:rPr>
        <w:t xml:space="preserve">should be supported </w:t>
      </w:r>
      <w:r w:rsidR="00487D18" w:rsidRPr="00AA1EB0">
        <w:rPr>
          <w:rFonts w:ascii="Arial" w:hAnsi="Arial" w:cs="Arial"/>
        </w:rPr>
        <w:t xml:space="preserve">through representation of main panel IDR members on IDAP. This will ensure a common thread of communication throughout and across the IDR structures as a whole, helping to provide consistency in approach and a common set of expectations and aims. </w:t>
      </w:r>
    </w:p>
    <w:p w14:paraId="080B3DCB" w14:textId="77777777" w:rsidR="00487D18" w:rsidRPr="00AA1EB0" w:rsidRDefault="00487D18" w:rsidP="003A3BEE">
      <w:pPr>
        <w:spacing w:after="0" w:line="300" w:lineRule="atLeast"/>
        <w:contextualSpacing/>
        <w:rPr>
          <w:rFonts w:ascii="Arial" w:hAnsi="Arial" w:cs="Arial"/>
        </w:rPr>
      </w:pPr>
    </w:p>
    <w:p w14:paraId="324E442D" w14:textId="4E296E19" w:rsidR="00487D18" w:rsidRPr="00AA1EB0" w:rsidRDefault="00487D18" w:rsidP="003A3BEE">
      <w:pPr>
        <w:numPr>
          <w:ilvl w:val="0"/>
          <w:numId w:val="2"/>
        </w:numPr>
        <w:spacing w:after="0" w:line="300" w:lineRule="atLeast"/>
        <w:ind w:left="0" w:firstLine="0"/>
        <w:contextualSpacing/>
        <w:rPr>
          <w:rFonts w:ascii="Arial" w:hAnsi="Arial" w:cs="Arial"/>
        </w:rPr>
      </w:pPr>
      <w:r w:rsidRPr="00AA1EB0">
        <w:rPr>
          <w:rFonts w:ascii="Arial" w:hAnsi="Arial" w:cs="Arial"/>
        </w:rPr>
        <w:t>The panel proposed the following role for IDAP throughout the subsequent phases of the REF</w:t>
      </w:r>
      <w:r w:rsidR="003A3BEE">
        <w:rPr>
          <w:rFonts w:ascii="Arial" w:hAnsi="Arial" w:cs="Arial"/>
        </w:rPr>
        <w:t>:</w:t>
      </w:r>
      <w:r w:rsidRPr="00AA1EB0">
        <w:rPr>
          <w:rFonts w:ascii="Arial" w:hAnsi="Arial" w:cs="Arial"/>
        </w:rPr>
        <w:t xml:space="preserve"> </w:t>
      </w:r>
    </w:p>
    <w:p w14:paraId="7F9A4B5C" w14:textId="77777777" w:rsidR="00723751" w:rsidRPr="00AA1EB0" w:rsidRDefault="00723751" w:rsidP="007B29A2">
      <w:pPr>
        <w:spacing w:after="0" w:line="300" w:lineRule="atLeast"/>
        <w:contextualSpacing/>
        <w:rPr>
          <w:rFonts w:ascii="Arial" w:hAnsi="Arial" w:cs="Arial"/>
        </w:rPr>
      </w:pPr>
    </w:p>
    <w:p w14:paraId="5D4A0088" w14:textId="77777777" w:rsidR="00487D18" w:rsidRPr="00AA1EB0" w:rsidRDefault="00487D18" w:rsidP="003A3BEE">
      <w:pPr>
        <w:numPr>
          <w:ilvl w:val="1"/>
          <w:numId w:val="2"/>
        </w:numPr>
        <w:spacing w:after="0" w:line="300" w:lineRule="atLeast"/>
        <w:ind w:left="1134" w:hanging="567"/>
        <w:contextualSpacing/>
        <w:rPr>
          <w:rFonts w:ascii="Arial" w:hAnsi="Arial" w:cs="Arial"/>
        </w:rPr>
      </w:pPr>
      <w:r w:rsidRPr="00AA1EB0">
        <w:rPr>
          <w:rFonts w:ascii="Arial" w:hAnsi="Arial" w:cs="Arial"/>
          <w:i/>
        </w:rPr>
        <w:t>Submission phase</w:t>
      </w:r>
      <w:r w:rsidRPr="00AA1EB0">
        <w:rPr>
          <w:rFonts w:ascii="Arial" w:hAnsi="Arial" w:cs="Arial"/>
        </w:rPr>
        <w:t>: an ambassadorial role, communicating and promoting the enhanced measures to support interdisciplinary research within the REF2021 to support sector confidence.</w:t>
      </w:r>
    </w:p>
    <w:p w14:paraId="7B0341D6" w14:textId="6D89E06D" w:rsidR="00487D18" w:rsidRPr="00AA1EB0" w:rsidRDefault="00487D18" w:rsidP="003A3BEE">
      <w:pPr>
        <w:numPr>
          <w:ilvl w:val="1"/>
          <w:numId w:val="2"/>
        </w:numPr>
        <w:spacing w:after="0" w:line="300" w:lineRule="atLeast"/>
        <w:ind w:left="1134" w:hanging="567"/>
        <w:contextualSpacing/>
        <w:rPr>
          <w:rFonts w:ascii="Arial" w:hAnsi="Arial" w:cs="Arial"/>
        </w:rPr>
      </w:pPr>
      <w:r w:rsidRPr="00AA1EB0">
        <w:rPr>
          <w:rFonts w:ascii="Arial" w:hAnsi="Arial" w:cs="Arial"/>
          <w:i/>
        </w:rPr>
        <w:t>Assessment phase</w:t>
      </w:r>
      <w:r w:rsidRPr="00AA1EB0">
        <w:rPr>
          <w:rFonts w:ascii="Arial" w:hAnsi="Arial" w:cs="Arial"/>
        </w:rPr>
        <w:t>: providing advice to the main panels on the consistent application of the process, including advice and support on any issues arising in the implementation of the 2021 IDR measures. The panel will not have a role in directly assessing submissions, however the role may include attendance and observation</w:t>
      </w:r>
      <w:r w:rsidR="00271AEC" w:rsidRPr="00AA1EB0">
        <w:rPr>
          <w:rFonts w:ascii="Arial" w:hAnsi="Arial" w:cs="Arial"/>
        </w:rPr>
        <w:t xml:space="preserve"> and input</w:t>
      </w:r>
      <w:r w:rsidRPr="00AA1EB0">
        <w:rPr>
          <w:rFonts w:ascii="Arial" w:hAnsi="Arial" w:cs="Arial"/>
        </w:rPr>
        <w:t xml:space="preserve"> at IDR network and sub-panel meetings, to provide advice and support. During this phase, the panel will also gather evidence to inform their assessment of the effectiveness, and consistency of application of the 2021 interventions. </w:t>
      </w:r>
    </w:p>
    <w:p w14:paraId="4701A62E" w14:textId="77777777" w:rsidR="00487D18" w:rsidRPr="00AA1EB0" w:rsidRDefault="00487D18" w:rsidP="003A3BEE">
      <w:pPr>
        <w:numPr>
          <w:ilvl w:val="1"/>
          <w:numId w:val="2"/>
        </w:numPr>
        <w:spacing w:after="0" w:line="300" w:lineRule="atLeast"/>
        <w:ind w:left="1134" w:hanging="567"/>
        <w:contextualSpacing/>
        <w:rPr>
          <w:rFonts w:ascii="Arial" w:hAnsi="Arial" w:cs="Arial"/>
        </w:rPr>
      </w:pPr>
      <w:r w:rsidRPr="00AA1EB0">
        <w:rPr>
          <w:rFonts w:ascii="Arial" w:hAnsi="Arial" w:cs="Arial"/>
          <w:i/>
        </w:rPr>
        <w:t>Evaluation phase</w:t>
      </w:r>
      <w:r w:rsidRPr="00AA1EB0">
        <w:rPr>
          <w:rFonts w:ascii="Arial" w:hAnsi="Arial" w:cs="Arial"/>
        </w:rPr>
        <w:t>: Review the assessment of interdisciplinary research in the REF and the success of the application of process and its effectiveness.</w:t>
      </w:r>
    </w:p>
    <w:p w14:paraId="2550FADE" w14:textId="77777777" w:rsidR="00487D18" w:rsidRPr="00AA1EB0" w:rsidRDefault="00487D18" w:rsidP="007B29A2">
      <w:pPr>
        <w:spacing w:after="0" w:line="300" w:lineRule="atLeast"/>
        <w:ind w:left="720"/>
        <w:contextualSpacing/>
        <w:rPr>
          <w:rFonts w:ascii="Arial" w:hAnsi="Arial" w:cs="Arial"/>
        </w:rPr>
      </w:pPr>
    </w:p>
    <w:p w14:paraId="2EB4ED6B" w14:textId="5E236258" w:rsidR="00487D18" w:rsidRPr="00AA1EB0" w:rsidRDefault="00487D18" w:rsidP="003A3BEE">
      <w:pPr>
        <w:numPr>
          <w:ilvl w:val="0"/>
          <w:numId w:val="2"/>
        </w:numPr>
        <w:spacing w:after="0" w:line="300" w:lineRule="atLeast"/>
        <w:ind w:left="0" w:firstLine="0"/>
        <w:contextualSpacing/>
        <w:rPr>
          <w:rFonts w:ascii="Arial" w:hAnsi="Arial" w:cs="Arial"/>
        </w:rPr>
      </w:pPr>
      <w:r w:rsidRPr="00AA1EB0">
        <w:rPr>
          <w:rFonts w:ascii="Arial" w:hAnsi="Arial" w:cs="Arial"/>
        </w:rPr>
        <w:t>Informed by IDAP’s advice, the REF Steering Group agreed emerging proposals for IDAP’s future role at its January 2018 meeting. The steering group agreed</w:t>
      </w:r>
      <w:r w:rsidR="00EA0085">
        <w:rPr>
          <w:rFonts w:ascii="Arial" w:hAnsi="Arial" w:cs="Arial"/>
        </w:rPr>
        <w:t xml:space="preserve"> with the principles that</w:t>
      </w:r>
      <w:r w:rsidRPr="00AA1EB0">
        <w:rPr>
          <w:rFonts w:ascii="Arial" w:hAnsi="Arial" w:cs="Arial"/>
        </w:rPr>
        <w:t xml:space="preserve"> the panel </w:t>
      </w:r>
      <w:r w:rsidR="00005E4E">
        <w:rPr>
          <w:rFonts w:ascii="Arial" w:hAnsi="Arial" w:cs="Arial"/>
        </w:rPr>
        <w:t>w</w:t>
      </w:r>
      <w:r w:rsidR="00EA0085">
        <w:rPr>
          <w:rFonts w:ascii="Arial" w:hAnsi="Arial" w:cs="Arial"/>
        </w:rPr>
        <w:t>ould</w:t>
      </w:r>
      <w:r w:rsidR="00EA0085" w:rsidRPr="00AA1EB0">
        <w:rPr>
          <w:rFonts w:ascii="Arial" w:hAnsi="Arial" w:cs="Arial"/>
        </w:rPr>
        <w:t xml:space="preserve"> </w:t>
      </w:r>
      <w:r w:rsidRPr="00AA1EB0">
        <w:rPr>
          <w:rFonts w:ascii="Arial" w:hAnsi="Arial" w:cs="Arial"/>
        </w:rPr>
        <w:t xml:space="preserve">add value to the assessment of interdisciplinary outputs, have a clear and distinct role, avoid conflicts in governance and help ensure wider confidence in the assessment process for interdisciplinary research. </w:t>
      </w:r>
    </w:p>
    <w:p w14:paraId="6E04E262" w14:textId="77777777" w:rsidR="00487D18" w:rsidRPr="00AA1EB0" w:rsidRDefault="00487D18" w:rsidP="003A3BEE">
      <w:pPr>
        <w:spacing w:after="0" w:line="300" w:lineRule="atLeast"/>
        <w:contextualSpacing/>
        <w:rPr>
          <w:rFonts w:ascii="Arial" w:hAnsi="Arial" w:cs="Arial"/>
        </w:rPr>
      </w:pPr>
    </w:p>
    <w:p w14:paraId="5C068100" w14:textId="3E6CCE10" w:rsidR="004D1DDB" w:rsidRDefault="00487D18" w:rsidP="003A3BEE">
      <w:pPr>
        <w:numPr>
          <w:ilvl w:val="0"/>
          <w:numId w:val="2"/>
        </w:numPr>
        <w:spacing w:after="0" w:line="300" w:lineRule="atLeast"/>
        <w:ind w:left="0" w:firstLine="0"/>
        <w:contextualSpacing/>
        <w:rPr>
          <w:rFonts w:ascii="Arial" w:hAnsi="Arial" w:cs="Arial"/>
        </w:rPr>
      </w:pPr>
      <w:r w:rsidRPr="00AA1EB0">
        <w:rPr>
          <w:rFonts w:ascii="Arial" w:hAnsi="Arial" w:cs="Arial"/>
        </w:rPr>
        <w:t>At the end of the criteria</w:t>
      </w:r>
      <w:r w:rsidR="00AA1EB0">
        <w:rPr>
          <w:rFonts w:ascii="Arial" w:hAnsi="Arial" w:cs="Arial"/>
        </w:rPr>
        <w:t>-</w:t>
      </w:r>
      <w:r w:rsidRPr="00AA1EB0">
        <w:rPr>
          <w:rFonts w:ascii="Arial" w:hAnsi="Arial" w:cs="Arial"/>
        </w:rPr>
        <w:t>setting phase, IDAP will reduce in s</w:t>
      </w:r>
      <w:r w:rsidR="007C3C1E">
        <w:rPr>
          <w:rFonts w:ascii="Arial" w:hAnsi="Arial" w:cs="Arial"/>
        </w:rPr>
        <w:t>i</w:t>
      </w:r>
      <w:r w:rsidR="00873550">
        <w:rPr>
          <w:rFonts w:ascii="Arial" w:hAnsi="Arial" w:cs="Arial"/>
        </w:rPr>
        <w:t>z</w:t>
      </w:r>
      <w:r w:rsidR="007C3C1E">
        <w:rPr>
          <w:rFonts w:ascii="Arial" w:hAnsi="Arial" w:cs="Arial"/>
        </w:rPr>
        <w:t>e</w:t>
      </w:r>
      <w:r w:rsidRPr="00AA1EB0">
        <w:rPr>
          <w:rFonts w:ascii="Arial" w:hAnsi="Arial" w:cs="Arial"/>
        </w:rPr>
        <w:t xml:space="preserve"> and reconstitute its membership, with a view to these future activities. The interests of the assessment panels will be represented by the main panel IDR </w:t>
      </w:r>
      <w:r w:rsidR="00B4565B" w:rsidRPr="00AA1EB0">
        <w:rPr>
          <w:rFonts w:ascii="Arial" w:hAnsi="Arial" w:cs="Arial"/>
        </w:rPr>
        <w:t>members,</w:t>
      </w:r>
      <w:r w:rsidRPr="00AA1EB0">
        <w:rPr>
          <w:rFonts w:ascii="Arial" w:hAnsi="Arial" w:cs="Arial"/>
        </w:rPr>
        <w:t xml:space="preserve"> and this will provide valuable ‘real-world’ intelligence for the panel, drawn on the experience and concerns of IDR advisers and others undertaking assessment.</w:t>
      </w:r>
      <w:r w:rsidR="004D1DDB" w:rsidRPr="004D1DDB">
        <w:rPr>
          <w:rFonts w:ascii="Arial" w:hAnsi="Arial" w:cs="Arial"/>
        </w:rPr>
        <w:t xml:space="preserve"> </w:t>
      </w:r>
    </w:p>
    <w:p w14:paraId="14A6C916" w14:textId="77777777" w:rsidR="004D1DDB" w:rsidRDefault="004D1DDB" w:rsidP="003A3BEE">
      <w:pPr>
        <w:spacing w:after="0" w:line="300" w:lineRule="atLeast"/>
        <w:contextualSpacing/>
        <w:rPr>
          <w:rFonts w:ascii="Arial" w:hAnsi="Arial" w:cs="Arial"/>
        </w:rPr>
      </w:pPr>
    </w:p>
    <w:p w14:paraId="4C6DB280" w14:textId="3ADB6CDE" w:rsidR="00B4565B" w:rsidRDefault="004D1DDB" w:rsidP="003A3BEE">
      <w:pPr>
        <w:numPr>
          <w:ilvl w:val="0"/>
          <w:numId w:val="2"/>
        </w:numPr>
        <w:spacing w:after="0" w:line="300" w:lineRule="atLeast"/>
        <w:ind w:left="0" w:firstLine="0"/>
        <w:contextualSpacing/>
        <w:rPr>
          <w:rFonts w:ascii="Arial" w:hAnsi="Arial" w:cs="Arial"/>
        </w:rPr>
      </w:pPr>
      <w:r w:rsidRPr="00DF0CA9">
        <w:rPr>
          <w:rFonts w:ascii="Arial" w:hAnsi="Arial" w:cs="Arial"/>
        </w:rPr>
        <w:t>Some of IDAP</w:t>
      </w:r>
      <w:r w:rsidR="00CC46DC">
        <w:rPr>
          <w:rFonts w:ascii="Arial" w:hAnsi="Arial" w:cs="Arial"/>
        </w:rPr>
        <w:t>’s</w:t>
      </w:r>
      <w:r w:rsidRPr="00DF0CA9">
        <w:rPr>
          <w:rFonts w:ascii="Arial" w:hAnsi="Arial" w:cs="Arial"/>
        </w:rPr>
        <w:t xml:space="preserve"> members in its initial phase were </w:t>
      </w:r>
      <w:r w:rsidR="00CC46DC">
        <w:rPr>
          <w:rFonts w:ascii="Arial" w:hAnsi="Arial" w:cs="Arial"/>
        </w:rPr>
        <w:t>subsequently</w:t>
      </w:r>
      <w:r w:rsidRPr="00DF0CA9">
        <w:rPr>
          <w:rFonts w:ascii="Arial" w:hAnsi="Arial" w:cs="Arial"/>
        </w:rPr>
        <w:t xml:space="preserve"> appointed as sub-panel chairs or members. In holding this dual role during the criteria development these members provi</w:t>
      </w:r>
      <w:r w:rsidRPr="00F213C7">
        <w:rPr>
          <w:rFonts w:ascii="Arial" w:hAnsi="Arial" w:cs="Arial"/>
        </w:rPr>
        <w:t xml:space="preserve">ded invaluable insight to inform the work of IDAP. These panel members identified </w:t>
      </w:r>
      <w:r w:rsidRPr="00912487">
        <w:rPr>
          <w:rFonts w:ascii="Arial" w:hAnsi="Arial" w:cs="Arial"/>
        </w:rPr>
        <w:t>at the February 2018 meeting that they would wish to stand down from membership of IDAP as part of this proposed restructure of the panel, and that this would help to avoid p</w:t>
      </w:r>
      <w:r w:rsidRPr="00935EE0">
        <w:rPr>
          <w:rFonts w:ascii="Arial" w:hAnsi="Arial" w:cs="Arial"/>
        </w:rPr>
        <w:t>erceived or actual conflicts, and ensure that IDAP stands separate from the assessment.</w:t>
      </w:r>
    </w:p>
    <w:p w14:paraId="69ECE31C" w14:textId="77777777" w:rsidR="00541712" w:rsidRDefault="00541712" w:rsidP="007B29A2">
      <w:pPr>
        <w:pStyle w:val="ListParagraph"/>
        <w:spacing w:after="0" w:line="300" w:lineRule="atLeast"/>
        <w:ind w:left="360"/>
        <w:rPr>
          <w:rFonts w:ascii="Arial" w:hAnsi="Arial" w:cs="Arial"/>
          <w:b/>
          <w:sz w:val="24"/>
        </w:rPr>
      </w:pPr>
    </w:p>
    <w:p w14:paraId="55FF834F" w14:textId="25B4CDD9" w:rsidR="00541712" w:rsidRPr="008A4C66" w:rsidRDefault="00541712" w:rsidP="0034062C">
      <w:pPr>
        <w:pStyle w:val="Heading1"/>
        <w:rPr>
          <w:rFonts w:ascii="Arial" w:hAnsi="Arial" w:cs="Arial"/>
          <w:b/>
          <w:color w:val="auto"/>
          <w:sz w:val="24"/>
          <w:szCs w:val="21"/>
        </w:rPr>
      </w:pPr>
      <w:bookmarkStart w:id="27" w:name="_Toc3200588"/>
      <w:r w:rsidRPr="008A4C66">
        <w:rPr>
          <w:rFonts w:ascii="Arial" w:hAnsi="Arial" w:cs="Arial"/>
          <w:b/>
          <w:color w:val="auto"/>
          <w:sz w:val="24"/>
          <w:szCs w:val="21"/>
        </w:rPr>
        <w:t>Part 3: Recommendations and further considerations for the future</w:t>
      </w:r>
      <w:bookmarkEnd w:id="27"/>
      <w:r w:rsidRPr="008A4C66">
        <w:rPr>
          <w:rFonts w:ascii="Arial" w:hAnsi="Arial" w:cs="Arial"/>
          <w:b/>
          <w:color w:val="auto"/>
          <w:sz w:val="24"/>
          <w:szCs w:val="21"/>
        </w:rPr>
        <w:t xml:space="preserve"> </w:t>
      </w:r>
    </w:p>
    <w:p w14:paraId="074EEFD9" w14:textId="77777777" w:rsidR="000323C1" w:rsidRPr="000323C1" w:rsidRDefault="000323C1" w:rsidP="000323C1">
      <w:pPr>
        <w:spacing w:after="0" w:line="300" w:lineRule="atLeast"/>
        <w:rPr>
          <w:rFonts w:ascii="Arial" w:hAnsi="Arial" w:cs="Arial"/>
          <w:b/>
          <w:sz w:val="24"/>
        </w:rPr>
      </w:pPr>
    </w:p>
    <w:p w14:paraId="45C88F68" w14:textId="0EEC6295" w:rsidR="00325B55" w:rsidRPr="001930BF" w:rsidRDefault="00D84897" w:rsidP="003A3BEE">
      <w:pPr>
        <w:numPr>
          <w:ilvl w:val="0"/>
          <w:numId w:val="2"/>
        </w:numPr>
        <w:spacing w:after="0" w:line="300" w:lineRule="atLeast"/>
        <w:ind w:left="0" w:firstLine="0"/>
        <w:contextualSpacing/>
        <w:rPr>
          <w:rFonts w:ascii="Arial" w:hAnsi="Arial" w:cs="Arial"/>
        </w:rPr>
      </w:pPr>
      <w:r w:rsidRPr="001930BF">
        <w:rPr>
          <w:rFonts w:ascii="Arial" w:hAnsi="Arial" w:cs="Arial"/>
        </w:rPr>
        <w:t xml:space="preserve">We </w:t>
      </w:r>
      <w:r w:rsidR="00325B55" w:rsidRPr="001930BF">
        <w:rPr>
          <w:rFonts w:ascii="Arial" w:hAnsi="Arial" w:cs="Arial"/>
        </w:rPr>
        <w:t xml:space="preserve">were pleased to note the general support </w:t>
      </w:r>
      <w:r w:rsidR="00CC46DC">
        <w:rPr>
          <w:rFonts w:ascii="Arial" w:hAnsi="Arial" w:cs="Arial"/>
        </w:rPr>
        <w:t>expressed in the 2018 consultation</w:t>
      </w:r>
      <w:r w:rsidR="00CC46DC">
        <w:rPr>
          <w:rStyle w:val="FootnoteReference"/>
          <w:rFonts w:ascii="Arial" w:hAnsi="Arial" w:cs="Arial"/>
        </w:rPr>
        <w:footnoteReference w:id="14"/>
      </w:r>
      <w:r w:rsidR="00CC46DC">
        <w:rPr>
          <w:rFonts w:ascii="Arial" w:hAnsi="Arial" w:cs="Arial"/>
        </w:rPr>
        <w:t xml:space="preserve"> </w:t>
      </w:r>
      <w:r w:rsidR="00325B55" w:rsidRPr="001930BF">
        <w:rPr>
          <w:rFonts w:ascii="Arial" w:hAnsi="Arial" w:cs="Arial"/>
        </w:rPr>
        <w:t xml:space="preserve">for the increased focus on IDR within the REF and the work of IDAP. However </w:t>
      </w:r>
      <w:r w:rsidRPr="001930BF">
        <w:rPr>
          <w:rFonts w:ascii="Arial" w:hAnsi="Arial" w:cs="Arial"/>
        </w:rPr>
        <w:t xml:space="preserve">the consultation </w:t>
      </w:r>
      <w:r w:rsidR="00325B55" w:rsidRPr="001930BF">
        <w:rPr>
          <w:rFonts w:ascii="Arial" w:hAnsi="Arial" w:cs="Arial"/>
        </w:rPr>
        <w:t>also raised issues of concern for the community, key amongst which were</w:t>
      </w:r>
      <w:r w:rsidR="00CC46DC">
        <w:rPr>
          <w:rFonts w:ascii="Arial" w:hAnsi="Arial" w:cs="Arial"/>
        </w:rPr>
        <w:t xml:space="preserve"> a desire for greater clarity on</w:t>
      </w:r>
      <w:r w:rsidR="00325B55" w:rsidRPr="001930BF">
        <w:rPr>
          <w:rFonts w:ascii="Arial" w:hAnsi="Arial" w:cs="Arial"/>
        </w:rPr>
        <w:t xml:space="preserve">: </w:t>
      </w:r>
    </w:p>
    <w:p w14:paraId="3A62DAE8" w14:textId="361F7F49" w:rsidR="00325B55" w:rsidRPr="001930BF" w:rsidRDefault="00325B55" w:rsidP="007B29A2">
      <w:pPr>
        <w:numPr>
          <w:ilvl w:val="1"/>
          <w:numId w:val="25"/>
        </w:numPr>
        <w:spacing w:after="0" w:line="300" w:lineRule="atLeast"/>
        <w:contextualSpacing/>
        <w:rPr>
          <w:rFonts w:ascii="Arial" w:hAnsi="Arial" w:cs="Arial"/>
        </w:rPr>
      </w:pPr>
      <w:r w:rsidRPr="001930BF">
        <w:rPr>
          <w:rFonts w:ascii="Arial" w:hAnsi="Arial" w:cs="Arial"/>
        </w:rPr>
        <w:t>the IDR</w:t>
      </w:r>
      <w:r w:rsidR="00CC46DC">
        <w:rPr>
          <w:rFonts w:ascii="Arial" w:hAnsi="Arial" w:cs="Arial"/>
        </w:rPr>
        <w:t>-</w:t>
      </w:r>
      <w:r w:rsidRPr="001930BF">
        <w:rPr>
          <w:rFonts w:ascii="Arial" w:hAnsi="Arial" w:cs="Arial"/>
        </w:rPr>
        <w:t>focused panel roles and the processes for assessment</w:t>
      </w:r>
    </w:p>
    <w:p w14:paraId="7D74D8E2" w14:textId="0FA7BAD6" w:rsidR="00325B55" w:rsidRPr="001930BF" w:rsidRDefault="00325B55" w:rsidP="007B29A2">
      <w:pPr>
        <w:numPr>
          <w:ilvl w:val="1"/>
          <w:numId w:val="25"/>
        </w:numPr>
        <w:spacing w:after="0" w:line="300" w:lineRule="atLeast"/>
        <w:contextualSpacing/>
        <w:rPr>
          <w:rFonts w:ascii="Arial" w:hAnsi="Arial" w:cs="Arial"/>
        </w:rPr>
      </w:pPr>
      <w:r w:rsidRPr="001930BF">
        <w:rPr>
          <w:rFonts w:ascii="Arial" w:hAnsi="Arial" w:cs="Arial"/>
        </w:rPr>
        <w:t>the purpose and use of the IDR identifier</w:t>
      </w:r>
    </w:p>
    <w:p w14:paraId="06B157CE" w14:textId="31D91567" w:rsidR="00325B55" w:rsidRDefault="00D84897" w:rsidP="007B29A2">
      <w:pPr>
        <w:numPr>
          <w:ilvl w:val="1"/>
          <w:numId w:val="25"/>
        </w:numPr>
        <w:spacing w:after="0" w:line="300" w:lineRule="atLeast"/>
        <w:contextualSpacing/>
      </w:pPr>
      <w:r w:rsidRPr="001930BF">
        <w:rPr>
          <w:rFonts w:ascii="Arial" w:hAnsi="Arial" w:cs="Arial"/>
        </w:rPr>
        <w:t xml:space="preserve">the </w:t>
      </w:r>
      <w:r w:rsidR="00325B55" w:rsidRPr="001930BF">
        <w:rPr>
          <w:rFonts w:ascii="Arial" w:hAnsi="Arial" w:cs="Arial"/>
        </w:rPr>
        <w:t xml:space="preserve">role of IDAP in supporting the assessment of IDR </w:t>
      </w:r>
      <w:r w:rsidR="00CC46DC">
        <w:rPr>
          <w:rFonts w:ascii="Arial" w:hAnsi="Arial" w:cs="Arial"/>
        </w:rPr>
        <w:t>during</w:t>
      </w:r>
      <w:r w:rsidR="00325B55" w:rsidRPr="001930BF">
        <w:rPr>
          <w:rFonts w:ascii="Arial" w:hAnsi="Arial" w:cs="Arial"/>
        </w:rPr>
        <w:t xml:space="preserve"> the assessment phase.</w:t>
      </w:r>
      <w:r w:rsidR="00325B55">
        <w:t xml:space="preserve"> </w:t>
      </w:r>
    </w:p>
    <w:p w14:paraId="5C823D7F" w14:textId="77777777" w:rsidR="00325B55" w:rsidRDefault="00325B55" w:rsidP="007B29A2">
      <w:pPr>
        <w:spacing w:after="0" w:line="300" w:lineRule="atLeast"/>
        <w:ind w:left="792"/>
        <w:contextualSpacing/>
      </w:pPr>
    </w:p>
    <w:p w14:paraId="7D978911" w14:textId="0D1EE3E6" w:rsidR="00325B55" w:rsidRDefault="005F2729" w:rsidP="003A3BEE">
      <w:pPr>
        <w:numPr>
          <w:ilvl w:val="0"/>
          <w:numId w:val="2"/>
        </w:numPr>
        <w:spacing w:after="0" w:line="300" w:lineRule="atLeast"/>
        <w:ind w:left="0" w:firstLine="0"/>
        <w:contextualSpacing/>
        <w:rPr>
          <w:rFonts w:ascii="Arial" w:hAnsi="Arial" w:cs="Arial"/>
        </w:rPr>
      </w:pPr>
      <w:r>
        <w:rPr>
          <w:rFonts w:ascii="Arial" w:hAnsi="Arial" w:cs="Arial"/>
        </w:rPr>
        <w:t>IDAP</w:t>
      </w:r>
      <w:r w:rsidR="00CC46DC">
        <w:rPr>
          <w:rFonts w:ascii="Arial" w:hAnsi="Arial" w:cs="Arial"/>
        </w:rPr>
        <w:t>,</w:t>
      </w:r>
      <w:r>
        <w:rPr>
          <w:rFonts w:ascii="Arial" w:hAnsi="Arial" w:cs="Arial"/>
        </w:rPr>
        <w:t xml:space="preserve"> </w:t>
      </w:r>
      <w:r w:rsidR="00C50CE0">
        <w:rPr>
          <w:rFonts w:ascii="Arial" w:hAnsi="Arial" w:cs="Arial"/>
        </w:rPr>
        <w:t xml:space="preserve">working </w:t>
      </w:r>
      <w:r w:rsidR="00CC46DC">
        <w:rPr>
          <w:rFonts w:ascii="Arial" w:hAnsi="Arial" w:cs="Arial"/>
        </w:rPr>
        <w:t>with</w:t>
      </w:r>
      <w:r w:rsidR="00C50CE0">
        <w:rPr>
          <w:rFonts w:ascii="Arial" w:hAnsi="Arial" w:cs="Arial"/>
        </w:rPr>
        <w:t xml:space="preserve"> the main panel chairs</w:t>
      </w:r>
      <w:r w:rsidR="00CC46DC">
        <w:rPr>
          <w:rFonts w:ascii="Arial" w:hAnsi="Arial" w:cs="Arial"/>
        </w:rPr>
        <w:t>,</w:t>
      </w:r>
      <w:r w:rsidR="00C50CE0">
        <w:rPr>
          <w:rFonts w:ascii="Arial" w:hAnsi="Arial" w:cs="Arial"/>
        </w:rPr>
        <w:t xml:space="preserve"> has sought to </w:t>
      </w:r>
      <w:r w:rsidR="00325B55" w:rsidRPr="0004378F">
        <w:rPr>
          <w:rFonts w:ascii="Arial" w:hAnsi="Arial" w:cs="Arial"/>
        </w:rPr>
        <w:t>address these</w:t>
      </w:r>
      <w:r>
        <w:rPr>
          <w:rFonts w:ascii="Arial" w:hAnsi="Arial" w:cs="Arial"/>
        </w:rPr>
        <w:t xml:space="preserve"> issues</w:t>
      </w:r>
      <w:r w:rsidR="00325B55" w:rsidRPr="0004378F">
        <w:rPr>
          <w:rFonts w:ascii="Arial" w:hAnsi="Arial" w:cs="Arial"/>
        </w:rPr>
        <w:t xml:space="preserve"> through the </w:t>
      </w:r>
      <w:r w:rsidR="00CC46DC">
        <w:rPr>
          <w:rFonts w:ascii="Arial" w:hAnsi="Arial" w:cs="Arial"/>
        </w:rPr>
        <w:t xml:space="preserve">revised </w:t>
      </w:r>
      <w:r w:rsidR="00325B55" w:rsidRPr="0004378F">
        <w:rPr>
          <w:rFonts w:ascii="Arial" w:hAnsi="Arial" w:cs="Arial"/>
        </w:rPr>
        <w:t>guidance and criteria for the REF</w:t>
      </w:r>
      <w:r w:rsidR="00C50CE0">
        <w:rPr>
          <w:rFonts w:ascii="Arial" w:hAnsi="Arial" w:cs="Arial"/>
        </w:rPr>
        <w:t>,</w:t>
      </w:r>
      <w:r w:rsidR="00325B55" w:rsidRPr="0004378F">
        <w:rPr>
          <w:rFonts w:ascii="Arial" w:hAnsi="Arial" w:cs="Arial"/>
        </w:rPr>
        <w:t xml:space="preserve"> and </w:t>
      </w:r>
      <w:r w:rsidR="00C50CE0">
        <w:rPr>
          <w:rFonts w:ascii="Arial" w:hAnsi="Arial" w:cs="Arial"/>
        </w:rPr>
        <w:t>through the approach set out in this report</w:t>
      </w:r>
      <w:r w:rsidR="00325B55" w:rsidRPr="0004378F">
        <w:rPr>
          <w:rFonts w:ascii="Arial" w:hAnsi="Arial" w:cs="Arial"/>
        </w:rPr>
        <w:t xml:space="preserve">. IDAP will </w:t>
      </w:r>
      <w:r w:rsidR="006E2C5B">
        <w:rPr>
          <w:rFonts w:ascii="Arial" w:hAnsi="Arial" w:cs="Arial"/>
        </w:rPr>
        <w:t xml:space="preserve">also </w:t>
      </w:r>
      <w:r w:rsidR="00325B55" w:rsidRPr="0004378F">
        <w:rPr>
          <w:rFonts w:ascii="Arial" w:hAnsi="Arial" w:cs="Arial"/>
        </w:rPr>
        <w:t xml:space="preserve">provide opportunities for HEIs to discuss and clarify issues in relation to IDR throughout the submission phase, as part of our </w:t>
      </w:r>
      <w:r w:rsidR="00CC46DC">
        <w:rPr>
          <w:rFonts w:ascii="Arial" w:hAnsi="Arial" w:cs="Arial"/>
        </w:rPr>
        <w:t>‘</w:t>
      </w:r>
      <w:r w:rsidR="00325B55" w:rsidRPr="0004378F">
        <w:rPr>
          <w:rFonts w:ascii="Arial" w:hAnsi="Arial" w:cs="Arial"/>
        </w:rPr>
        <w:t>ambassadorial</w:t>
      </w:r>
      <w:r w:rsidR="00CC46DC">
        <w:rPr>
          <w:rFonts w:ascii="Arial" w:hAnsi="Arial" w:cs="Arial"/>
        </w:rPr>
        <w:t>’</w:t>
      </w:r>
      <w:r w:rsidR="00325B55" w:rsidRPr="0004378F">
        <w:rPr>
          <w:rFonts w:ascii="Arial" w:hAnsi="Arial" w:cs="Arial"/>
        </w:rPr>
        <w:t xml:space="preserve"> role, in providing confidence for HEIs to include and </w:t>
      </w:r>
      <w:r>
        <w:rPr>
          <w:rFonts w:ascii="Arial" w:hAnsi="Arial" w:cs="Arial"/>
        </w:rPr>
        <w:t xml:space="preserve">identify </w:t>
      </w:r>
      <w:r w:rsidR="00325B55" w:rsidRPr="0004378F">
        <w:rPr>
          <w:rFonts w:ascii="Arial" w:hAnsi="Arial" w:cs="Arial"/>
        </w:rPr>
        <w:t>interdisciplinary work.</w:t>
      </w:r>
    </w:p>
    <w:p w14:paraId="210B8593" w14:textId="77777777" w:rsidR="006E2C5B" w:rsidRDefault="006E2C5B" w:rsidP="003A3BEE">
      <w:pPr>
        <w:spacing w:after="0" w:line="300" w:lineRule="atLeast"/>
        <w:contextualSpacing/>
        <w:rPr>
          <w:rFonts w:ascii="Arial" w:hAnsi="Arial" w:cs="Arial"/>
        </w:rPr>
      </w:pPr>
    </w:p>
    <w:p w14:paraId="2AB947FD" w14:textId="765DDC90" w:rsidR="006E2C5B" w:rsidRPr="0004378F" w:rsidRDefault="00C50CE0" w:rsidP="003A3BEE">
      <w:pPr>
        <w:numPr>
          <w:ilvl w:val="0"/>
          <w:numId w:val="2"/>
        </w:numPr>
        <w:spacing w:after="0" w:line="300" w:lineRule="atLeast"/>
        <w:ind w:left="0" w:firstLine="0"/>
        <w:contextualSpacing/>
        <w:rPr>
          <w:rFonts w:ascii="Arial" w:hAnsi="Arial" w:cs="Arial"/>
        </w:rPr>
      </w:pPr>
      <w:r>
        <w:rPr>
          <w:rFonts w:ascii="Arial" w:hAnsi="Arial" w:cs="Arial"/>
        </w:rPr>
        <w:t>In</w:t>
      </w:r>
      <w:r w:rsidR="006E2C5B">
        <w:rPr>
          <w:rFonts w:ascii="Arial" w:hAnsi="Arial" w:cs="Arial"/>
        </w:rPr>
        <w:t xml:space="preserve"> framing the panel criteria</w:t>
      </w:r>
      <w:r>
        <w:rPr>
          <w:rFonts w:ascii="Arial" w:hAnsi="Arial" w:cs="Arial"/>
        </w:rPr>
        <w:t xml:space="preserve"> for IDR</w:t>
      </w:r>
      <w:r w:rsidR="006E2C5B">
        <w:rPr>
          <w:rFonts w:ascii="Arial" w:hAnsi="Arial" w:cs="Arial"/>
        </w:rPr>
        <w:t xml:space="preserve">, </w:t>
      </w:r>
      <w:r>
        <w:rPr>
          <w:rFonts w:ascii="Arial" w:hAnsi="Arial" w:cs="Arial"/>
        </w:rPr>
        <w:t xml:space="preserve">we have sought </w:t>
      </w:r>
      <w:r w:rsidR="006E2C5B">
        <w:rPr>
          <w:rFonts w:ascii="Arial" w:hAnsi="Arial" w:cs="Arial"/>
        </w:rPr>
        <w:t xml:space="preserve">to provide </w:t>
      </w:r>
      <w:r w:rsidR="006E2C5B" w:rsidRPr="001930BF">
        <w:rPr>
          <w:rFonts w:ascii="Arial" w:hAnsi="Arial" w:cs="Arial"/>
        </w:rPr>
        <w:t>clear</w:t>
      </w:r>
      <w:r w:rsidR="006E2C5B">
        <w:rPr>
          <w:rFonts w:ascii="Arial" w:hAnsi="Arial" w:cs="Arial"/>
        </w:rPr>
        <w:t xml:space="preserve">, concise and comprehensible criteria </w:t>
      </w:r>
      <w:r w:rsidR="006E2C5B" w:rsidRPr="001930BF">
        <w:rPr>
          <w:rFonts w:ascii="Arial" w:hAnsi="Arial" w:cs="Arial"/>
        </w:rPr>
        <w:t xml:space="preserve">for </w:t>
      </w:r>
      <w:r w:rsidR="006E2C5B">
        <w:rPr>
          <w:rFonts w:ascii="Arial" w:hAnsi="Arial" w:cs="Arial"/>
        </w:rPr>
        <w:t xml:space="preserve">the </w:t>
      </w:r>
      <w:r w:rsidR="006E2C5B" w:rsidRPr="001930BF">
        <w:rPr>
          <w:rFonts w:ascii="Arial" w:hAnsi="Arial" w:cs="Arial"/>
        </w:rPr>
        <w:t>panels</w:t>
      </w:r>
      <w:r w:rsidR="006E2C5B" w:rsidRPr="0004378F">
        <w:rPr>
          <w:rFonts w:ascii="Arial" w:hAnsi="Arial" w:cs="Arial"/>
        </w:rPr>
        <w:t xml:space="preserve">, </w:t>
      </w:r>
      <w:r>
        <w:rPr>
          <w:rFonts w:ascii="Arial" w:hAnsi="Arial" w:cs="Arial"/>
        </w:rPr>
        <w:t xml:space="preserve">which will </w:t>
      </w:r>
      <w:r w:rsidR="006E2C5B">
        <w:rPr>
          <w:rFonts w:ascii="Arial" w:hAnsi="Arial" w:cs="Arial"/>
        </w:rPr>
        <w:t xml:space="preserve">help </w:t>
      </w:r>
      <w:r w:rsidR="006E2C5B" w:rsidRPr="0004378F">
        <w:rPr>
          <w:rFonts w:ascii="Arial" w:hAnsi="Arial" w:cs="Arial"/>
        </w:rPr>
        <w:t xml:space="preserve">guide HEIs in developing their submissions. To support these criteria, IDAP will </w:t>
      </w:r>
      <w:r w:rsidR="006E2C5B">
        <w:rPr>
          <w:rFonts w:ascii="Arial" w:hAnsi="Arial" w:cs="Arial"/>
        </w:rPr>
        <w:t xml:space="preserve">work with the IDR network to </w:t>
      </w:r>
      <w:r w:rsidR="006E2C5B" w:rsidRPr="0004378F">
        <w:rPr>
          <w:rFonts w:ascii="Arial" w:hAnsi="Arial" w:cs="Arial"/>
        </w:rPr>
        <w:t>develop supplementary briefing material</w:t>
      </w:r>
      <w:r w:rsidR="006E2C5B">
        <w:rPr>
          <w:rFonts w:ascii="Arial" w:hAnsi="Arial" w:cs="Arial"/>
        </w:rPr>
        <w:t>s</w:t>
      </w:r>
      <w:r w:rsidR="006E2C5B" w:rsidRPr="0004378F">
        <w:rPr>
          <w:rFonts w:ascii="Arial" w:hAnsi="Arial" w:cs="Arial"/>
        </w:rPr>
        <w:t xml:space="preserve"> for IDR advisers and main panel members, and for </w:t>
      </w:r>
      <w:r w:rsidR="00CC46DC">
        <w:rPr>
          <w:rFonts w:ascii="Arial" w:hAnsi="Arial" w:cs="Arial"/>
        </w:rPr>
        <w:t>main and sub-panel</w:t>
      </w:r>
      <w:r w:rsidR="006E2C5B" w:rsidRPr="0004378F">
        <w:rPr>
          <w:rFonts w:ascii="Arial" w:hAnsi="Arial" w:cs="Arial"/>
        </w:rPr>
        <w:t xml:space="preserve"> members </w:t>
      </w:r>
      <w:r w:rsidR="00CC46DC">
        <w:rPr>
          <w:rFonts w:ascii="Arial" w:hAnsi="Arial" w:cs="Arial"/>
        </w:rPr>
        <w:t>more broadly</w:t>
      </w:r>
      <w:r w:rsidR="006E2C5B" w:rsidRPr="0004378F">
        <w:rPr>
          <w:rFonts w:ascii="Arial" w:hAnsi="Arial" w:cs="Arial"/>
        </w:rPr>
        <w:t>.</w:t>
      </w:r>
    </w:p>
    <w:p w14:paraId="17CC483C" w14:textId="77777777" w:rsidR="006E2C5B" w:rsidRDefault="006E2C5B" w:rsidP="007B29A2">
      <w:pPr>
        <w:spacing w:after="0" w:line="300" w:lineRule="atLeast"/>
        <w:contextualSpacing/>
        <w:rPr>
          <w:rFonts w:ascii="Arial" w:hAnsi="Arial" w:cs="Arial"/>
        </w:rPr>
      </w:pPr>
    </w:p>
    <w:p w14:paraId="14DADB4F" w14:textId="4FFE4C61" w:rsidR="00325B55" w:rsidRPr="008A4C66" w:rsidRDefault="006E2C5B" w:rsidP="0034062C">
      <w:pPr>
        <w:pStyle w:val="Heading2"/>
        <w:rPr>
          <w:rFonts w:ascii="Arial" w:eastAsia="Times New Roman" w:hAnsi="Arial" w:cs="Arial"/>
          <w:b/>
          <w:color w:val="000000" w:themeColor="text1"/>
          <w:sz w:val="21"/>
          <w:szCs w:val="21"/>
          <w:lang w:eastAsia="en-GB"/>
        </w:rPr>
      </w:pPr>
      <w:bookmarkStart w:id="28" w:name="_Toc3200589"/>
      <w:r w:rsidRPr="008A4C66">
        <w:rPr>
          <w:rFonts w:ascii="Arial" w:eastAsia="Times New Roman" w:hAnsi="Arial" w:cs="Arial"/>
          <w:b/>
          <w:color w:val="000000" w:themeColor="text1"/>
          <w:sz w:val="21"/>
          <w:szCs w:val="21"/>
          <w:lang w:eastAsia="en-GB"/>
        </w:rPr>
        <w:t>Reflections on the process</w:t>
      </w:r>
      <w:bookmarkEnd w:id="28"/>
    </w:p>
    <w:p w14:paraId="68E15976" w14:textId="4B93836C" w:rsidR="00BF0C8E" w:rsidRPr="0004378F" w:rsidRDefault="00BF0C8E" w:rsidP="003A3BEE">
      <w:pPr>
        <w:numPr>
          <w:ilvl w:val="0"/>
          <w:numId w:val="2"/>
        </w:numPr>
        <w:spacing w:after="0" w:line="300" w:lineRule="atLeast"/>
        <w:ind w:left="0" w:firstLine="0"/>
        <w:contextualSpacing/>
        <w:rPr>
          <w:rFonts w:ascii="Arial" w:hAnsi="Arial" w:cs="Arial"/>
        </w:rPr>
      </w:pPr>
      <w:r w:rsidRPr="0004378F">
        <w:rPr>
          <w:rFonts w:ascii="Arial" w:hAnsi="Arial" w:cs="Arial"/>
        </w:rPr>
        <w:t>In reflecting on our work</w:t>
      </w:r>
      <w:r w:rsidR="006B6A49">
        <w:rPr>
          <w:rFonts w:ascii="Arial" w:hAnsi="Arial" w:cs="Arial"/>
        </w:rPr>
        <w:t>,</w:t>
      </w:r>
      <w:r w:rsidRPr="0004378F">
        <w:rPr>
          <w:rFonts w:ascii="Arial" w:hAnsi="Arial" w:cs="Arial"/>
        </w:rPr>
        <w:t xml:space="preserve"> </w:t>
      </w:r>
      <w:r w:rsidR="006B6A49">
        <w:rPr>
          <w:rFonts w:ascii="Arial" w:hAnsi="Arial" w:cs="Arial"/>
        </w:rPr>
        <w:t>we</w:t>
      </w:r>
      <w:r w:rsidRPr="0004378F">
        <w:rPr>
          <w:rFonts w:ascii="Arial" w:hAnsi="Arial" w:cs="Arial"/>
        </w:rPr>
        <w:t xml:space="preserve"> </w:t>
      </w:r>
      <w:r w:rsidR="006E2C5B">
        <w:rPr>
          <w:rFonts w:ascii="Arial" w:hAnsi="Arial" w:cs="Arial"/>
        </w:rPr>
        <w:t>felt that we were</w:t>
      </w:r>
      <w:r w:rsidRPr="0004378F">
        <w:rPr>
          <w:rFonts w:ascii="Arial" w:hAnsi="Arial" w:cs="Arial"/>
        </w:rPr>
        <w:t xml:space="preserve"> able to work </w:t>
      </w:r>
      <w:r w:rsidR="006E2C5B">
        <w:rPr>
          <w:rFonts w:ascii="Arial" w:hAnsi="Arial" w:cs="Arial"/>
        </w:rPr>
        <w:t xml:space="preserve">positively and </w:t>
      </w:r>
      <w:r w:rsidRPr="0004378F">
        <w:rPr>
          <w:rFonts w:ascii="Arial" w:hAnsi="Arial" w:cs="Arial"/>
        </w:rPr>
        <w:t xml:space="preserve">cohesively despite, </w:t>
      </w:r>
      <w:r w:rsidR="00414EA1" w:rsidRPr="0004378F">
        <w:rPr>
          <w:rFonts w:ascii="Arial" w:hAnsi="Arial" w:cs="Arial"/>
        </w:rPr>
        <w:t xml:space="preserve">and </w:t>
      </w:r>
      <w:r w:rsidR="005F2729">
        <w:rPr>
          <w:rFonts w:ascii="Arial" w:hAnsi="Arial" w:cs="Arial"/>
        </w:rPr>
        <w:t xml:space="preserve">maybe </w:t>
      </w:r>
      <w:r w:rsidRPr="0004378F">
        <w:rPr>
          <w:rFonts w:ascii="Arial" w:hAnsi="Arial" w:cs="Arial"/>
        </w:rPr>
        <w:t xml:space="preserve">even because of the wide ranging backgrounds of the members, which we felt was a key strength for the </w:t>
      </w:r>
      <w:r w:rsidR="00040ACB" w:rsidRPr="0004378F">
        <w:rPr>
          <w:rFonts w:ascii="Arial" w:hAnsi="Arial" w:cs="Arial"/>
        </w:rPr>
        <w:t>group</w:t>
      </w:r>
      <w:r w:rsidRPr="0004378F">
        <w:rPr>
          <w:rFonts w:ascii="Arial" w:hAnsi="Arial" w:cs="Arial"/>
        </w:rPr>
        <w:t xml:space="preserve">. The variety of experience </w:t>
      </w:r>
      <w:r w:rsidR="00040ACB" w:rsidRPr="0004378F">
        <w:rPr>
          <w:rFonts w:ascii="Arial" w:hAnsi="Arial" w:cs="Arial"/>
        </w:rPr>
        <w:t xml:space="preserve">and </w:t>
      </w:r>
      <w:r w:rsidR="00414EA1" w:rsidRPr="0004378F">
        <w:rPr>
          <w:rFonts w:ascii="Arial" w:hAnsi="Arial" w:cs="Arial"/>
        </w:rPr>
        <w:t>expertise amongst the membership</w:t>
      </w:r>
      <w:r w:rsidRPr="0004378F">
        <w:rPr>
          <w:rFonts w:ascii="Arial" w:hAnsi="Arial" w:cs="Arial"/>
        </w:rPr>
        <w:t>, and the insight provided by members who were subsequently appointed as sub-panel chairs or members</w:t>
      </w:r>
      <w:r w:rsidR="00040ACB" w:rsidRPr="0004378F">
        <w:rPr>
          <w:rFonts w:ascii="Arial" w:hAnsi="Arial" w:cs="Arial"/>
        </w:rPr>
        <w:t>,</w:t>
      </w:r>
      <w:r w:rsidR="00414EA1" w:rsidRPr="0004378F">
        <w:rPr>
          <w:rFonts w:ascii="Arial" w:hAnsi="Arial" w:cs="Arial"/>
        </w:rPr>
        <w:t xml:space="preserve"> </w:t>
      </w:r>
      <w:r w:rsidR="005E2AAE">
        <w:rPr>
          <w:rFonts w:ascii="Arial" w:hAnsi="Arial" w:cs="Arial"/>
        </w:rPr>
        <w:t>were</w:t>
      </w:r>
      <w:r w:rsidR="00414EA1" w:rsidRPr="0004378F">
        <w:rPr>
          <w:rFonts w:ascii="Arial" w:hAnsi="Arial" w:cs="Arial"/>
        </w:rPr>
        <w:t xml:space="preserve"> invaluable</w:t>
      </w:r>
      <w:r w:rsidRPr="0004378F">
        <w:rPr>
          <w:rFonts w:ascii="Arial" w:hAnsi="Arial" w:cs="Arial"/>
        </w:rPr>
        <w:t>.</w:t>
      </w:r>
      <w:r w:rsidR="006E2C5B">
        <w:rPr>
          <w:rFonts w:ascii="Arial" w:hAnsi="Arial" w:cs="Arial"/>
        </w:rPr>
        <w:t xml:space="preserve"> </w:t>
      </w:r>
    </w:p>
    <w:p w14:paraId="3EA8BFA9" w14:textId="2831F409" w:rsidR="00BF0C8E" w:rsidRPr="0004378F" w:rsidRDefault="00BF0C8E" w:rsidP="003A3BEE">
      <w:pPr>
        <w:spacing w:after="0" w:line="300" w:lineRule="atLeast"/>
        <w:contextualSpacing/>
        <w:rPr>
          <w:rFonts w:ascii="Arial" w:hAnsi="Arial" w:cs="Arial"/>
        </w:rPr>
      </w:pPr>
      <w:r w:rsidRPr="0004378F">
        <w:rPr>
          <w:rFonts w:ascii="Arial" w:hAnsi="Arial" w:cs="Arial"/>
        </w:rPr>
        <w:t xml:space="preserve"> </w:t>
      </w:r>
    </w:p>
    <w:p w14:paraId="6DA6A23D" w14:textId="7525908F" w:rsidR="00040ACB" w:rsidRPr="0004378F" w:rsidRDefault="00414EA1" w:rsidP="003A3BEE">
      <w:pPr>
        <w:numPr>
          <w:ilvl w:val="0"/>
          <w:numId w:val="2"/>
        </w:numPr>
        <w:spacing w:after="0" w:line="300" w:lineRule="atLeast"/>
        <w:ind w:left="0" w:firstLine="0"/>
        <w:contextualSpacing/>
        <w:rPr>
          <w:rFonts w:ascii="Arial" w:hAnsi="Arial" w:cs="Arial"/>
        </w:rPr>
      </w:pPr>
      <w:r w:rsidRPr="0004378F">
        <w:rPr>
          <w:rFonts w:ascii="Arial" w:hAnsi="Arial" w:cs="Arial"/>
        </w:rPr>
        <w:t>Whil</w:t>
      </w:r>
      <w:r w:rsidR="005E2AAE">
        <w:rPr>
          <w:rFonts w:ascii="Arial" w:hAnsi="Arial" w:cs="Arial"/>
        </w:rPr>
        <w:t>e</w:t>
      </w:r>
      <w:r w:rsidRPr="0004378F">
        <w:rPr>
          <w:rFonts w:ascii="Arial" w:hAnsi="Arial" w:cs="Arial"/>
        </w:rPr>
        <w:t xml:space="preserve"> we feel that the outcome of our work has resulted in a flexible but robust approach</w:t>
      </w:r>
      <w:r w:rsidR="00040ACB" w:rsidRPr="0004378F">
        <w:rPr>
          <w:rFonts w:ascii="Arial" w:hAnsi="Arial" w:cs="Arial"/>
        </w:rPr>
        <w:t xml:space="preserve"> which we hope will be seen as such by the wider community</w:t>
      </w:r>
      <w:r w:rsidRPr="0004378F">
        <w:rPr>
          <w:rFonts w:ascii="Arial" w:hAnsi="Arial" w:cs="Arial"/>
        </w:rPr>
        <w:t xml:space="preserve">, </w:t>
      </w:r>
      <w:r w:rsidR="00BA3FE1">
        <w:rPr>
          <w:rFonts w:ascii="Arial" w:hAnsi="Arial" w:cs="Arial"/>
        </w:rPr>
        <w:t xml:space="preserve">we do note that </w:t>
      </w:r>
      <w:r w:rsidRPr="0004378F">
        <w:rPr>
          <w:rFonts w:ascii="Arial" w:hAnsi="Arial" w:cs="Arial"/>
        </w:rPr>
        <w:t xml:space="preserve">the process by which this was achieved could have been </w:t>
      </w:r>
      <w:r w:rsidR="00040ACB" w:rsidRPr="0004378F">
        <w:rPr>
          <w:rFonts w:ascii="Arial" w:hAnsi="Arial" w:cs="Arial"/>
        </w:rPr>
        <w:t>improved</w:t>
      </w:r>
      <w:r w:rsidRPr="0004378F">
        <w:rPr>
          <w:rFonts w:ascii="Arial" w:hAnsi="Arial" w:cs="Arial"/>
        </w:rPr>
        <w:t xml:space="preserve">. </w:t>
      </w:r>
    </w:p>
    <w:p w14:paraId="75B4C14F" w14:textId="77777777" w:rsidR="00D84897" w:rsidRPr="0004378F" w:rsidRDefault="00D84897" w:rsidP="003A3BEE">
      <w:pPr>
        <w:spacing w:after="0" w:line="300" w:lineRule="atLeast"/>
        <w:contextualSpacing/>
        <w:rPr>
          <w:rFonts w:ascii="Arial" w:hAnsi="Arial" w:cs="Arial"/>
        </w:rPr>
      </w:pPr>
    </w:p>
    <w:p w14:paraId="1F4812B0" w14:textId="0B45512B" w:rsidR="00414EA1" w:rsidRPr="0004378F" w:rsidRDefault="00414EA1" w:rsidP="003A3BEE">
      <w:pPr>
        <w:numPr>
          <w:ilvl w:val="0"/>
          <w:numId w:val="2"/>
        </w:numPr>
        <w:spacing w:after="0" w:line="300" w:lineRule="atLeast"/>
        <w:ind w:left="0" w:firstLine="0"/>
        <w:contextualSpacing/>
        <w:rPr>
          <w:rFonts w:ascii="Arial" w:hAnsi="Arial" w:cs="Arial"/>
        </w:rPr>
      </w:pPr>
      <w:r w:rsidRPr="0004378F">
        <w:rPr>
          <w:rFonts w:ascii="Arial" w:hAnsi="Arial" w:cs="Arial"/>
        </w:rPr>
        <w:t>A key issue for the members was in the timing of appointment of IDAP. The panel was constituted following the consultation in 2017 and amongst our early tasks was to consider the consultation responses relevant to IDR. However</w:t>
      </w:r>
      <w:r w:rsidR="005E2AAE">
        <w:rPr>
          <w:rFonts w:ascii="Arial" w:hAnsi="Arial" w:cs="Arial"/>
        </w:rPr>
        <w:t>,</w:t>
      </w:r>
      <w:r w:rsidRPr="0004378F">
        <w:rPr>
          <w:rFonts w:ascii="Arial" w:hAnsi="Arial" w:cs="Arial"/>
        </w:rPr>
        <w:t xml:space="preserve"> as a group we consider that </w:t>
      </w:r>
      <w:r w:rsidR="005E2AAE">
        <w:rPr>
          <w:rFonts w:ascii="Arial" w:hAnsi="Arial" w:cs="Arial"/>
        </w:rPr>
        <w:t>it would have been more</w:t>
      </w:r>
      <w:r w:rsidRPr="0004378F">
        <w:rPr>
          <w:rFonts w:ascii="Arial" w:hAnsi="Arial" w:cs="Arial"/>
        </w:rPr>
        <w:t xml:space="preserve"> effective to have constituted IDAP at an earlier stage</w:t>
      </w:r>
      <w:r w:rsidR="005E2AAE">
        <w:rPr>
          <w:rFonts w:ascii="Arial" w:hAnsi="Arial" w:cs="Arial"/>
        </w:rPr>
        <w:t xml:space="preserve"> when we could </w:t>
      </w:r>
      <w:r w:rsidRPr="0004378F">
        <w:rPr>
          <w:rFonts w:ascii="Arial" w:hAnsi="Arial" w:cs="Arial"/>
        </w:rPr>
        <w:t xml:space="preserve">have provided input into the development of the issues for consideration within the consultation itself. </w:t>
      </w:r>
    </w:p>
    <w:p w14:paraId="5C5B2C3F" w14:textId="77777777" w:rsidR="00414EA1" w:rsidRPr="0004378F" w:rsidRDefault="00414EA1" w:rsidP="003A3BEE">
      <w:pPr>
        <w:spacing w:after="0" w:line="300" w:lineRule="atLeast"/>
        <w:contextualSpacing/>
        <w:rPr>
          <w:rFonts w:ascii="Arial" w:hAnsi="Arial" w:cs="Arial"/>
        </w:rPr>
      </w:pPr>
    </w:p>
    <w:p w14:paraId="67CF9719" w14:textId="0C8AD0E6" w:rsidR="00040ACB" w:rsidRPr="0004378F" w:rsidRDefault="005E2AAE" w:rsidP="003A3BEE">
      <w:pPr>
        <w:numPr>
          <w:ilvl w:val="0"/>
          <w:numId w:val="2"/>
        </w:numPr>
        <w:spacing w:after="0" w:line="300" w:lineRule="atLeast"/>
        <w:ind w:left="0" w:firstLine="0"/>
        <w:contextualSpacing/>
        <w:rPr>
          <w:rFonts w:ascii="Arial" w:hAnsi="Arial" w:cs="Arial"/>
        </w:rPr>
      </w:pPr>
      <w:r>
        <w:rPr>
          <w:rFonts w:ascii="Arial" w:hAnsi="Arial" w:cs="Arial"/>
        </w:rPr>
        <w:t>The timing of our work also created challenges in feeding</w:t>
      </w:r>
      <w:r w:rsidR="00BF0C8E" w:rsidRPr="0004378F">
        <w:rPr>
          <w:rFonts w:ascii="Arial" w:hAnsi="Arial" w:cs="Arial"/>
        </w:rPr>
        <w:t xml:space="preserve"> our advice into the guidance and criteria. </w:t>
      </w:r>
      <w:r w:rsidR="00040ACB" w:rsidRPr="0004378F">
        <w:rPr>
          <w:rFonts w:ascii="Arial" w:hAnsi="Arial" w:cs="Arial"/>
        </w:rPr>
        <w:t>In retrospec</w:t>
      </w:r>
      <w:r w:rsidR="001930BF">
        <w:rPr>
          <w:rFonts w:ascii="Arial" w:hAnsi="Arial" w:cs="Arial"/>
        </w:rPr>
        <w:t>t</w:t>
      </w:r>
      <w:r>
        <w:rPr>
          <w:rFonts w:ascii="Arial" w:hAnsi="Arial" w:cs="Arial"/>
        </w:rPr>
        <w:t xml:space="preserve"> it would have been helpful to engage</w:t>
      </w:r>
      <w:r w:rsidR="001930BF">
        <w:rPr>
          <w:rFonts w:ascii="Arial" w:hAnsi="Arial" w:cs="Arial"/>
        </w:rPr>
        <w:t xml:space="preserve"> </w:t>
      </w:r>
      <w:r w:rsidR="00414EA1" w:rsidRPr="0004378F">
        <w:rPr>
          <w:rFonts w:ascii="Arial" w:hAnsi="Arial" w:cs="Arial"/>
        </w:rPr>
        <w:t xml:space="preserve">with the </w:t>
      </w:r>
      <w:r w:rsidR="00BF0C8E" w:rsidRPr="0004378F">
        <w:rPr>
          <w:rFonts w:ascii="Arial" w:hAnsi="Arial" w:cs="Arial"/>
        </w:rPr>
        <w:t xml:space="preserve">main </w:t>
      </w:r>
      <w:r w:rsidR="00414EA1" w:rsidRPr="0004378F">
        <w:rPr>
          <w:rFonts w:ascii="Arial" w:hAnsi="Arial" w:cs="Arial"/>
        </w:rPr>
        <w:t>and sub-</w:t>
      </w:r>
      <w:r w:rsidR="00040ACB" w:rsidRPr="0004378F">
        <w:rPr>
          <w:rFonts w:ascii="Arial" w:hAnsi="Arial" w:cs="Arial"/>
        </w:rPr>
        <w:t>panels at an earlier stage</w:t>
      </w:r>
      <w:r>
        <w:rPr>
          <w:rFonts w:ascii="Arial" w:hAnsi="Arial" w:cs="Arial"/>
        </w:rPr>
        <w:t xml:space="preserve"> and more extensively</w:t>
      </w:r>
      <w:r w:rsidR="00040ACB" w:rsidRPr="0004378F">
        <w:rPr>
          <w:rFonts w:ascii="Arial" w:hAnsi="Arial" w:cs="Arial"/>
        </w:rPr>
        <w:t xml:space="preserve">, both </w:t>
      </w:r>
      <w:r>
        <w:rPr>
          <w:rFonts w:ascii="Arial" w:hAnsi="Arial" w:cs="Arial"/>
        </w:rPr>
        <w:t xml:space="preserve">to </w:t>
      </w:r>
      <w:r w:rsidR="00040ACB" w:rsidRPr="0004378F">
        <w:rPr>
          <w:rFonts w:ascii="Arial" w:hAnsi="Arial" w:cs="Arial"/>
        </w:rPr>
        <w:t xml:space="preserve">inform and gain their </w:t>
      </w:r>
      <w:r w:rsidR="006E2C5B">
        <w:rPr>
          <w:rFonts w:ascii="Arial" w:hAnsi="Arial" w:cs="Arial"/>
        </w:rPr>
        <w:t xml:space="preserve">input </w:t>
      </w:r>
      <w:r w:rsidR="00040ACB" w:rsidRPr="0004378F">
        <w:rPr>
          <w:rFonts w:ascii="Arial" w:hAnsi="Arial" w:cs="Arial"/>
        </w:rPr>
        <w:t>on the range of issues around IDR in the REF. The approach that was taken meant that</w:t>
      </w:r>
      <w:r>
        <w:rPr>
          <w:rFonts w:ascii="Arial" w:hAnsi="Arial" w:cs="Arial"/>
        </w:rPr>
        <w:t xml:space="preserve"> </w:t>
      </w:r>
      <w:r w:rsidR="00040ACB" w:rsidRPr="0004378F">
        <w:rPr>
          <w:rFonts w:ascii="Arial" w:hAnsi="Arial" w:cs="Arial"/>
        </w:rPr>
        <w:t xml:space="preserve">IDAP </w:t>
      </w:r>
      <w:r>
        <w:rPr>
          <w:rFonts w:ascii="Arial" w:hAnsi="Arial" w:cs="Arial"/>
        </w:rPr>
        <w:t>was not always working in close contact with</w:t>
      </w:r>
      <w:r w:rsidR="00040ACB" w:rsidRPr="0004378F">
        <w:rPr>
          <w:rFonts w:ascii="Arial" w:hAnsi="Arial" w:cs="Arial"/>
        </w:rPr>
        <w:t xml:space="preserve"> the community its work </w:t>
      </w:r>
      <w:r w:rsidR="008042CB" w:rsidRPr="0004378F">
        <w:rPr>
          <w:rFonts w:ascii="Arial" w:hAnsi="Arial" w:cs="Arial"/>
        </w:rPr>
        <w:t xml:space="preserve">aims to </w:t>
      </w:r>
      <w:r w:rsidR="00040ACB" w:rsidRPr="0004378F">
        <w:rPr>
          <w:rFonts w:ascii="Arial" w:hAnsi="Arial" w:cs="Arial"/>
        </w:rPr>
        <w:t>inform and support</w:t>
      </w:r>
      <w:r w:rsidR="008042CB" w:rsidRPr="0004378F">
        <w:rPr>
          <w:rFonts w:ascii="Arial" w:hAnsi="Arial" w:cs="Arial"/>
        </w:rPr>
        <w:t>.</w:t>
      </w:r>
      <w:r w:rsidR="00005E4E">
        <w:rPr>
          <w:rFonts w:ascii="Arial" w:hAnsi="Arial" w:cs="Arial"/>
        </w:rPr>
        <w:t xml:space="preserve"> This lead to some frustrations.</w:t>
      </w:r>
      <w:r w:rsidR="00040ACB" w:rsidRPr="0004378F">
        <w:rPr>
          <w:rFonts w:ascii="Arial" w:hAnsi="Arial" w:cs="Arial"/>
        </w:rPr>
        <w:t xml:space="preserve"> </w:t>
      </w:r>
    </w:p>
    <w:p w14:paraId="4A94B699" w14:textId="77777777" w:rsidR="00D84897" w:rsidRPr="0004378F" w:rsidRDefault="00D84897" w:rsidP="003A3BEE">
      <w:pPr>
        <w:spacing w:after="0" w:line="300" w:lineRule="atLeast"/>
        <w:contextualSpacing/>
        <w:rPr>
          <w:rFonts w:ascii="Arial" w:hAnsi="Arial" w:cs="Arial"/>
        </w:rPr>
      </w:pPr>
    </w:p>
    <w:p w14:paraId="459CF0CA" w14:textId="64B1F398" w:rsidR="008C5F6B" w:rsidRPr="0004378F" w:rsidRDefault="00D84897" w:rsidP="003A3BEE">
      <w:pPr>
        <w:numPr>
          <w:ilvl w:val="0"/>
          <w:numId w:val="2"/>
        </w:numPr>
        <w:spacing w:after="0" w:line="300" w:lineRule="atLeast"/>
        <w:ind w:left="0" w:firstLine="0"/>
        <w:contextualSpacing/>
        <w:rPr>
          <w:rFonts w:ascii="Arial" w:hAnsi="Arial" w:cs="Arial"/>
        </w:rPr>
      </w:pPr>
      <w:r w:rsidRPr="0004378F">
        <w:rPr>
          <w:rFonts w:ascii="Arial" w:hAnsi="Arial" w:cs="Arial"/>
        </w:rPr>
        <w:t xml:space="preserve">In engaging with the main and sub-panel IDR members it was evident that this lack of early engagement </w:t>
      </w:r>
      <w:r w:rsidR="008A3610">
        <w:rPr>
          <w:rFonts w:ascii="Arial" w:hAnsi="Arial" w:cs="Arial"/>
        </w:rPr>
        <w:t>was also</w:t>
      </w:r>
      <w:r w:rsidRPr="0004378F">
        <w:rPr>
          <w:rFonts w:ascii="Arial" w:hAnsi="Arial" w:cs="Arial"/>
        </w:rPr>
        <w:t xml:space="preserve"> a concern for them. However</w:t>
      </w:r>
      <w:r w:rsidR="008A3610">
        <w:rPr>
          <w:rFonts w:ascii="Arial" w:hAnsi="Arial" w:cs="Arial"/>
        </w:rPr>
        <w:t>,</w:t>
      </w:r>
      <w:r w:rsidRPr="0004378F">
        <w:rPr>
          <w:rFonts w:ascii="Arial" w:hAnsi="Arial" w:cs="Arial"/>
        </w:rPr>
        <w:t xml:space="preserve"> we note positively that there was a clear commitment from all parties </w:t>
      </w:r>
      <w:r w:rsidR="008A3610">
        <w:rPr>
          <w:rFonts w:ascii="Arial" w:hAnsi="Arial" w:cs="Arial"/>
        </w:rPr>
        <w:t>to</w:t>
      </w:r>
      <w:r w:rsidRPr="0004378F">
        <w:rPr>
          <w:rFonts w:ascii="Arial" w:hAnsi="Arial" w:cs="Arial"/>
        </w:rPr>
        <w:t xml:space="preserve"> the work of the IDR network as a means of supporting IDR in the REF</w:t>
      </w:r>
      <w:r w:rsidR="008A3610">
        <w:rPr>
          <w:rFonts w:ascii="Arial" w:hAnsi="Arial" w:cs="Arial"/>
        </w:rPr>
        <w:t xml:space="preserve"> and as a source of</w:t>
      </w:r>
      <w:r w:rsidRPr="0004378F">
        <w:rPr>
          <w:rFonts w:ascii="Arial" w:hAnsi="Arial" w:cs="Arial"/>
        </w:rPr>
        <w:t xml:space="preserve"> advice and mutual support throughout the </w:t>
      </w:r>
      <w:r w:rsidR="008A3610">
        <w:rPr>
          <w:rFonts w:ascii="Arial" w:hAnsi="Arial" w:cs="Arial"/>
        </w:rPr>
        <w:t xml:space="preserve">REF </w:t>
      </w:r>
      <w:r w:rsidRPr="0004378F">
        <w:rPr>
          <w:rFonts w:ascii="Arial" w:hAnsi="Arial" w:cs="Arial"/>
        </w:rPr>
        <w:t xml:space="preserve">process. </w:t>
      </w:r>
    </w:p>
    <w:p w14:paraId="3429F051" w14:textId="77777777" w:rsidR="008C5F6B" w:rsidRPr="0004378F" w:rsidRDefault="008C5F6B" w:rsidP="007B29A2">
      <w:pPr>
        <w:spacing w:after="0" w:line="300" w:lineRule="atLeast"/>
        <w:ind w:left="360"/>
        <w:contextualSpacing/>
        <w:rPr>
          <w:rFonts w:ascii="Arial" w:hAnsi="Arial" w:cs="Arial"/>
        </w:rPr>
      </w:pPr>
    </w:p>
    <w:p w14:paraId="28EAC158" w14:textId="316E02C4" w:rsidR="006E2C5B" w:rsidRPr="008A4C66" w:rsidRDefault="006E2C5B" w:rsidP="0034062C">
      <w:pPr>
        <w:pStyle w:val="Heading2"/>
        <w:rPr>
          <w:rFonts w:ascii="Arial" w:eastAsia="Times New Roman" w:hAnsi="Arial" w:cs="Arial"/>
          <w:b/>
          <w:color w:val="000000" w:themeColor="text1"/>
          <w:sz w:val="21"/>
          <w:szCs w:val="21"/>
          <w:lang w:eastAsia="en-GB"/>
        </w:rPr>
      </w:pPr>
      <w:bookmarkStart w:id="29" w:name="_Toc3200590"/>
      <w:r w:rsidRPr="008A4C66">
        <w:rPr>
          <w:rFonts w:ascii="Arial" w:eastAsia="Times New Roman" w:hAnsi="Arial" w:cs="Arial"/>
          <w:b/>
          <w:color w:val="000000" w:themeColor="text1"/>
          <w:sz w:val="21"/>
          <w:szCs w:val="21"/>
          <w:lang w:eastAsia="en-GB"/>
        </w:rPr>
        <w:t>Recommendations</w:t>
      </w:r>
      <w:bookmarkEnd w:id="29"/>
    </w:p>
    <w:p w14:paraId="020F17E9" w14:textId="5A4FC84D" w:rsidR="008A3610" w:rsidRDefault="008A3610" w:rsidP="003A3BEE">
      <w:pPr>
        <w:numPr>
          <w:ilvl w:val="0"/>
          <w:numId w:val="2"/>
        </w:numPr>
        <w:spacing w:after="0" w:line="300" w:lineRule="atLeast"/>
        <w:ind w:left="0" w:firstLine="0"/>
        <w:contextualSpacing/>
        <w:rPr>
          <w:rFonts w:ascii="Arial" w:hAnsi="Arial" w:cs="Arial"/>
        </w:rPr>
      </w:pPr>
      <w:r w:rsidRPr="008A3610">
        <w:rPr>
          <w:rFonts w:ascii="Arial" w:hAnsi="Arial" w:cs="Arial"/>
        </w:rPr>
        <w:t xml:space="preserve">Following the assessment phase and the evaluation of IDR assessment in REF 2021, IDAP will produce a final report on its work and findings across the REF period as a whole. This will give us the opportunity, based on our </w:t>
      </w:r>
      <w:r>
        <w:rPr>
          <w:rFonts w:ascii="Arial" w:hAnsi="Arial" w:cs="Arial"/>
        </w:rPr>
        <w:t xml:space="preserve">own </w:t>
      </w:r>
      <w:r w:rsidRPr="008A3610">
        <w:rPr>
          <w:rFonts w:ascii="Arial" w:hAnsi="Arial" w:cs="Arial"/>
        </w:rPr>
        <w:t xml:space="preserve">observations and </w:t>
      </w:r>
      <w:r>
        <w:rPr>
          <w:rFonts w:ascii="Arial" w:hAnsi="Arial" w:cs="Arial"/>
        </w:rPr>
        <w:t xml:space="preserve">the </w:t>
      </w:r>
      <w:r w:rsidRPr="008A3610">
        <w:rPr>
          <w:rFonts w:ascii="Arial" w:hAnsi="Arial" w:cs="Arial"/>
        </w:rPr>
        <w:t xml:space="preserve">panels’ experiences, to review and build on our findings, and to develop further recommendations for future exercises. On this basis the recommendations </w:t>
      </w:r>
      <w:r>
        <w:rPr>
          <w:rFonts w:ascii="Arial" w:hAnsi="Arial" w:cs="Arial"/>
        </w:rPr>
        <w:t>below</w:t>
      </w:r>
      <w:r w:rsidRPr="008A3610">
        <w:rPr>
          <w:rFonts w:ascii="Arial" w:hAnsi="Arial" w:cs="Arial"/>
        </w:rPr>
        <w:t xml:space="preserve"> </w:t>
      </w:r>
      <w:r>
        <w:rPr>
          <w:rFonts w:ascii="Arial" w:hAnsi="Arial" w:cs="Arial"/>
        </w:rPr>
        <w:t xml:space="preserve">for future REF exercises </w:t>
      </w:r>
      <w:r w:rsidRPr="008A3610">
        <w:rPr>
          <w:rFonts w:ascii="Arial" w:hAnsi="Arial" w:cs="Arial"/>
        </w:rPr>
        <w:t>should be seen to represent the interim findings of our work and experience to-date</w:t>
      </w:r>
      <w:r>
        <w:rPr>
          <w:rFonts w:ascii="Arial" w:hAnsi="Arial" w:cs="Arial"/>
        </w:rPr>
        <w:t>:</w:t>
      </w:r>
      <w:r w:rsidRPr="008A3610">
        <w:rPr>
          <w:rFonts w:ascii="Arial" w:hAnsi="Arial" w:cs="Arial"/>
        </w:rPr>
        <w:t xml:space="preserve"> </w:t>
      </w:r>
    </w:p>
    <w:p w14:paraId="558CFEDB" w14:textId="77777777" w:rsidR="004B74E5" w:rsidRDefault="004B74E5" w:rsidP="004B74E5">
      <w:pPr>
        <w:spacing w:after="0" w:line="300" w:lineRule="atLeast"/>
        <w:ind w:left="360"/>
        <w:contextualSpacing/>
        <w:rPr>
          <w:rFonts w:ascii="Arial" w:hAnsi="Arial" w:cs="Arial"/>
        </w:rPr>
      </w:pPr>
    </w:p>
    <w:p w14:paraId="70FBB397" w14:textId="059EA33D" w:rsidR="00BF0C8E" w:rsidRPr="001930BF" w:rsidRDefault="000323C1" w:rsidP="007B29A2">
      <w:pPr>
        <w:pStyle w:val="ListParagraph"/>
        <w:numPr>
          <w:ilvl w:val="0"/>
          <w:numId w:val="24"/>
        </w:numPr>
        <w:spacing w:after="0" w:line="300" w:lineRule="atLeast"/>
        <w:rPr>
          <w:rFonts w:ascii="Arial" w:hAnsi="Arial" w:cs="Arial"/>
        </w:rPr>
      </w:pPr>
      <w:r>
        <w:rPr>
          <w:rFonts w:ascii="Arial" w:hAnsi="Arial" w:cs="Arial"/>
        </w:rPr>
        <w:t>E</w:t>
      </w:r>
      <w:r w:rsidR="009A4658" w:rsidRPr="001930BF">
        <w:rPr>
          <w:rFonts w:ascii="Arial" w:hAnsi="Arial" w:cs="Arial"/>
        </w:rPr>
        <w:t xml:space="preserve">arlier appointment of </w:t>
      </w:r>
      <w:r w:rsidR="008A3610">
        <w:rPr>
          <w:rFonts w:ascii="Arial" w:hAnsi="Arial" w:cs="Arial"/>
        </w:rPr>
        <w:t xml:space="preserve">IDR </w:t>
      </w:r>
      <w:r w:rsidR="009A4658" w:rsidRPr="001930BF">
        <w:rPr>
          <w:rFonts w:ascii="Arial" w:hAnsi="Arial" w:cs="Arial"/>
        </w:rPr>
        <w:t>panel</w:t>
      </w:r>
      <w:r w:rsidR="00102EEB">
        <w:rPr>
          <w:rFonts w:ascii="Arial" w:hAnsi="Arial" w:cs="Arial"/>
        </w:rPr>
        <w:t>,</w:t>
      </w:r>
      <w:r w:rsidR="009A4658" w:rsidRPr="001930BF">
        <w:rPr>
          <w:rFonts w:ascii="Arial" w:hAnsi="Arial" w:cs="Arial"/>
        </w:rPr>
        <w:t xml:space="preserve"> </w:t>
      </w:r>
      <w:r w:rsidR="001930BF">
        <w:rPr>
          <w:rFonts w:ascii="Arial" w:hAnsi="Arial" w:cs="Arial"/>
        </w:rPr>
        <w:t xml:space="preserve">for </w:t>
      </w:r>
      <w:r w:rsidR="009A4658" w:rsidRPr="001930BF">
        <w:rPr>
          <w:rFonts w:ascii="Arial" w:hAnsi="Arial" w:cs="Arial"/>
        </w:rPr>
        <w:t xml:space="preserve">input </w:t>
      </w:r>
      <w:r w:rsidR="001930BF">
        <w:rPr>
          <w:rFonts w:ascii="Arial" w:hAnsi="Arial" w:cs="Arial"/>
        </w:rPr>
        <w:t>in</w:t>
      </w:r>
      <w:r w:rsidR="009A4658" w:rsidRPr="001930BF">
        <w:rPr>
          <w:rFonts w:ascii="Arial" w:hAnsi="Arial" w:cs="Arial"/>
        </w:rPr>
        <w:t>to consultation and initial decisions</w:t>
      </w:r>
    </w:p>
    <w:p w14:paraId="03259568" w14:textId="5253F25F" w:rsidR="00BF0C8E" w:rsidRDefault="000323C1" w:rsidP="007B29A2">
      <w:pPr>
        <w:pStyle w:val="ListParagraph"/>
        <w:numPr>
          <w:ilvl w:val="0"/>
          <w:numId w:val="24"/>
        </w:numPr>
        <w:spacing w:after="0" w:line="300" w:lineRule="atLeast"/>
        <w:rPr>
          <w:rFonts w:ascii="Arial" w:hAnsi="Arial" w:cs="Arial"/>
        </w:rPr>
      </w:pPr>
      <w:r>
        <w:rPr>
          <w:rFonts w:ascii="Arial" w:hAnsi="Arial" w:cs="Arial"/>
        </w:rPr>
        <w:t>E</w:t>
      </w:r>
      <w:r w:rsidR="00BF0C8E" w:rsidRPr="001930BF">
        <w:rPr>
          <w:rFonts w:ascii="Arial" w:hAnsi="Arial" w:cs="Arial"/>
        </w:rPr>
        <w:t xml:space="preserve">arlier engagement with </w:t>
      </w:r>
      <w:r w:rsidR="009A4658" w:rsidRPr="001930BF">
        <w:rPr>
          <w:rFonts w:ascii="Arial" w:hAnsi="Arial" w:cs="Arial"/>
        </w:rPr>
        <w:t>main panel chairs</w:t>
      </w:r>
      <w:r w:rsidR="00BF0C8E" w:rsidRPr="001930BF">
        <w:rPr>
          <w:rFonts w:ascii="Arial" w:hAnsi="Arial" w:cs="Arial"/>
        </w:rPr>
        <w:t xml:space="preserve"> following appointment</w:t>
      </w:r>
      <w:r w:rsidR="009A4658" w:rsidRPr="001930BF">
        <w:rPr>
          <w:rFonts w:ascii="Arial" w:hAnsi="Arial" w:cs="Arial"/>
        </w:rPr>
        <w:t xml:space="preserve">. </w:t>
      </w:r>
      <w:r w:rsidR="005F2729">
        <w:rPr>
          <w:rFonts w:ascii="Arial" w:hAnsi="Arial" w:cs="Arial"/>
        </w:rPr>
        <w:t>This wi</w:t>
      </w:r>
      <w:r w:rsidR="009A4658" w:rsidRPr="001930BF">
        <w:rPr>
          <w:rFonts w:ascii="Arial" w:hAnsi="Arial" w:cs="Arial"/>
        </w:rPr>
        <w:t xml:space="preserve">ll </w:t>
      </w:r>
      <w:r w:rsidR="00BF0C8E" w:rsidRPr="001930BF">
        <w:rPr>
          <w:rFonts w:ascii="Arial" w:hAnsi="Arial" w:cs="Arial"/>
        </w:rPr>
        <w:t>allow a period for building a common agreement of goals</w:t>
      </w:r>
      <w:r w:rsidR="008A3610">
        <w:rPr>
          <w:rFonts w:ascii="Arial" w:hAnsi="Arial" w:cs="Arial"/>
        </w:rPr>
        <w:t xml:space="preserve"> before</w:t>
      </w:r>
      <w:r w:rsidR="00BF0C8E" w:rsidRPr="001930BF">
        <w:rPr>
          <w:rFonts w:ascii="Arial" w:hAnsi="Arial" w:cs="Arial"/>
        </w:rPr>
        <w:t xml:space="preserve"> the main and sub-panels start work on criteria development</w:t>
      </w:r>
    </w:p>
    <w:p w14:paraId="62820D23" w14:textId="278B6E8E" w:rsidR="001930BF" w:rsidRPr="001930BF" w:rsidRDefault="000323C1" w:rsidP="007B29A2">
      <w:pPr>
        <w:pStyle w:val="ListParagraph"/>
        <w:numPr>
          <w:ilvl w:val="0"/>
          <w:numId w:val="24"/>
        </w:numPr>
        <w:spacing w:after="0" w:line="300" w:lineRule="atLeast"/>
        <w:rPr>
          <w:rFonts w:ascii="Arial" w:hAnsi="Arial" w:cs="Arial"/>
        </w:rPr>
      </w:pPr>
      <w:r>
        <w:rPr>
          <w:rFonts w:ascii="Arial" w:hAnsi="Arial" w:cs="Arial"/>
        </w:rPr>
        <w:t>B</w:t>
      </w:r>
      <w:r w:rsidR="001930BF">
        <w:rPr>
          <w:rFonts w:ascii="Arial" w:hAnsi="Arial" w:cs="Arial"/>
        </w:rPr>
        <w:t>riefing/induction process for IDR advisers and main panel members, to inform of background, expectations and opportunities for input and involvement</w:t>
      </w:r>
    </w:p>
    <w:p w14:paraId="787FFBA4" w14:textId="13949F3E" w:rsidR="001930BF" w:rsidRDefault="000323C1" w:rsidP="007B29A2">
      <w:pPr>
        <w:pStyle w:val="ListParagraph"/>
        <w:numPr>
          <w:ilvl w:val="0"/>
          <w:numId w:val="24"/>
        </w:numPr>
        <w:spacing w:after="0" w:line="300" w:lineRule="atLeast"/>
        <w:rPr>
          <w:rFonts w:ascii="Arial" w:hAnsi="Arial" w:cs="Arial"/>
        </w:rPr>
      </w:pPr>
      <w:r>
        <w:rPr>
          <w:rFonts w:ascii="Arial" w:hAnsi="Arial" w:cs="Arial"/>
        </w:rPr>
        <w:t>D</w:t>
      </w:r>
      <w:r w:rsidR="00BF0C8E" w:rsidRPr="001930BF">
        <w:rPr>
          <w:rFonts w:ascii="Arial" w:hAnsi="Arial" w:cs="Arial"/>
        </w:rPr>
        <w:t>irect engagement with sub-panel</w:t>
      </w:r>
      <w:r w:rsidR="005F2729">
        <w:rPr>
          <w:rFonts w:ascii="Arial" w:hAnsi="Arial" w:cs="Arial"/>
        </w:rPr>
        <w:t xml:space="preserve"> members </w:t>
      </w:r>
      <w:r w:rsidR="00BF0C8E" w:rsidRPr="001930BF">
        <w:rPr>
          <w:rFonts w:ascii="Arial" w:hAnsi="Arial" w:cs="Arial"/>
        </w:rPr>
        <w:t>at an earl</w:t>
      </w:r>
      <w:r w:rsidR="005F2729">
        <w:rPr>
          <w:rFonts w:ascii="Arial" w:hAnsi="Arial" w:cs="Arial"/>
        </w:rPr>
        <w:t xml:space="preserve">y </w:t>
      </w:r>
      <w:r w:rsidR="00BF0C8E" w:rsidRPr="001930BF">
        <w:rPr>
          <w:rFonts w:ascii="Arial" w:hAnsi="Arial" w:cs="Arial"/>
        </w:rPr>
        <w:t xml:space="preserve">stage </w:t>
      </w:r>
      <w:r w:rsidR="005F2729">
        <w:rPr>
          <w:rFonts w:ascii="Arial" w:hAnsi="Arial" w:cs="Arial"/>
        </w:rPr>
        <w:t>in criteria development</w:t>
      </w:r>
      <w:r w:rsidR="00D3112B">
        <w:rPr>
          <w:rFonts w:ascii="Arial" w:hAnsi="Arial" w:cs="Arial"/>
        </w:rPr>
        <w:t xml:space="preserve">, to enable </w:t>
      </w:r>
      <w:r w:rsidR="00BF0C8E" w:rsidRPr="001930BF">
        <w:rPr>
          <w:rFonts w:ascii="Arial" w:hAnsi="Arial" w:cs="Arial"/>
        </w:rPr>
        <w:t xml:space="preserve">an open dialogue with panel representatives to </w:t>
      </w:r>
      <w:r w:rsidR="005F2729">
        <w:rPr>
          <w:rFonts w:ascii="Arial" w:hAnsi="Arial" w:cs="Arial"/>
        </w:rPr>
        <w:t xml:space="preserve">test </w:t>
      </w:r>
      <w:r w:rsidR="00BF0C8E" w:rsidRPr="001930BF">
        <w:rPr>
          <w:rFonts w:ascii="Arial" w:hAnsi="Arial" w:cs="Arial"/>
        </w:rPr>
        <w:t xml:space="preserve">and inform </w:t>
      </w:r>
      <w:r w:rsidR="005F2729">
        <w:rPr>
          <w:rFonts w:ascii="Arial" w:hAnsi="Arial" w:cs="Arial"/>
        </w:rPr>
        <w:t xml:space="preserve">assessment </w:t>
      </w:r>
      <w:r w:rsidR="00BF0C8E" w:rsidRPr="001930BF">
        <w:rPr>
          <w:rFonts w:ascii="Arial" w:hAnsi="Arial" w:cs="Arial"/>
        </w:rPr>
        <w:t>principles</w:t>
      </w:r>
    </w:p>
    <w:p w14:paraId="2FC533C6" w14:textId="6B3B62B6" w:rsidR="00233858" w:rsidRPr="0034062C" w:rsidRDefault="000323C1" w:rsidP="007B29A2">
      <w:pPr>
        <w:pStyle w:val="ListParagraph"/>
        <w:numPr>
          <w:ilvl w:val="0"/>
          <w:numId w:val="24"/>
        </w:numPr>
        <w:spacing w:after="0" w:line="300" w:lineRule="atLeast"/>
        <w:rPr>
          <w:rFonts w:ascii="Arial" w:hAnsi="Arial" w:cs="Arial"/>
        </w:rPr>
      </w:pPr>
      <w:r>
        <w:rPr>
          <w:rFonts w:ascii="Arial" w:hAnsi="Arial" w:cs="Arial"/>
        </w:rPr>
        <w:t>O</w:t>
      </w:r>
      <w:r w:rsidR="001930BF" w:rsidRPr="004B74E5">
        <w:rPr>
          <w:rFonts w:ascii="Arial" w:hAnsi="Arial" w:cs="Arial"/>
        </w:rPr>
        <w:t>ngoing engagement with panel members</w:t>
      </w:r>
      <w:r w:rsidR="00822F0B" w:rsidRPr="004B74E5">
        <w:rPr>
          <w:rFonts w:ascii="Arial" w:hAnsi="Arial" w:cs="Arial"/>
        </w:rPr>
        <w:t xml:space="preserve"> throughout criteria development</w:t>
      </w:r>
      <w:r w:rsidR="001930BF" w:rsidRPr="004B74E5">
        <w:rPr>
          <w:rFonts w:ascii="Arial" w:hAnsi="Arial" w:cs="Arial"/>
        </w:rPr>
        <w:t xml:space="preserve">, including </w:t>
      </w:r>
      <w:r w:rsidR="00822F0B" w:rsidRPr="004B74E5">
        <w:rPr>
          <w:rFonts w:ascii="Arial" w:hAnsi="Arial" w:cs="Arial"/>
        </w:rPr>
        <w:t xml:space="preserve">meetings of the </w:t>
      </w:r>
      <w:r w:rsidR="001930BF" w:rsidRPr="004B74E5">
        <w:rPr>
          <w:rFonts w:ascii="Arial" w:hAnsi="Arial" w:cs="Arial"/>
        </w:rPr>
        <w:t xml:space="preserve">IDR network as forum for dialogue and information </w:t>
      </w:r>
      <w:r w:rsidR="008A3610" w:rsidRPr="004B74E5">
        <w:rPr>
          <w:rFonts w:ascii="Arial" w:hAnsi="Arial" w:cs="Arial"/>
        </w:rPr>
        <w:t>sharing</w:t>
      </w:r>
      <w:r w:rsidR="001930BF" w:rsidRPr="004B74E5">
        <w:rPr>
          <w:rFonts w:ascii="Arial" w:hAnsi="Arial" w:cs="Arial"/>
        </w:rPr>
        <w:t>.</w:t>
      </w:r>
      <w:r w:rsidR="007749B2" w:rsidRPr="004B74E5">
        <w:rPr>
          <w:rFonts w:ascii="Arial" w:hAnsi="Arial" w:cs="Arial"/>
        </w:rPr>
        <w:br w:type="page"/>
      </w:r>
    </w:p>
    <w:p w14:paraId="0038B75B" w14:textId="4B2717A0" w:rsidR="00C57F29" w:rsidRPr="008A4C66" w:rsidRDefault="00C57F29" w:rsidP="00091178">
      <w:pPr>
        <w:pStyle w:val="Heading1"/>
        <w:rPr>
          <w:rFonts w:ascii="Arial" w:eastAsia="Times New Roman" w:hAnsi="Arial" w:cs="Arial"/>
          <w:b/>
          <w:color w:val="000000" w:themeColor="text1"/>
          <w:sz w:val="32"/>
          <w:szCs w:val="32"/>
          <w:lang w:eastAsia="en-GB"/>
        </w:rPr>
      </w:pPr>
      <w:bookmarkStart w:id="30" w:name="_Toc3200591"/>
      <w:r w:rsidRPr="008A4C66">
        <w:rPr>
          <w:rFonts w:ascii="Arial" w:eastAsia="Times New Roman" w:hAnsi="Arial" w:cs="Arial"/>
          <w:b/>
          <w:color w:val="000000" w:themeColor="text1"/>
          <w:sz w:val="32"/>
          <w:szCs w:val="32"/>
          <w:lang w:eastAsia="en-GB"/>
        </w:rPr>
        <w:t>Annex A: Terms of Reference</w:t>
      </w:r>
      <w:bookmarkEnd w:id="30"/>
    </w:p>
    <w:p w14:paraId="14F8CA3A" w14:textId="77777777" w:rsidR="00C57F29" w:rsidRDefault="00C57F29" w:rsidP="007B29A2">
      <w:pPr>
        <w:spacing w:after="0" w:line="300" w:lineRule="atLeast"/>
        <w:rPr>
          <w:rFonts w:ascii="Arial" w:hAnsi="Arial" w:cs="Arial"/>
          <w:b/>
        </w:rPr>
      </w:pPr>
    </w:p>
    <w:p w14:paraId="5A7B4123" w14:textId="77777777" w:rsidR="00C57F29" w:rsidRDefault="00C57F29" w:rsidP="00C57F29">
      <w:pPr>
        <w:spacing w:after="0" w:line="300" w:lineRule="atLeast"/>
        <w:rPr>
          <w:rFonts w:ascii="Arial" w:hAnsi="Arial" w:cs="Arial"/>
          <w:b/>
          <w:sz w:val="28"/>
          <w:szCs w:val="28"/>
        </w:rPr>
      </w:pPr>
      <w:r w:rsidRPr="000C4CE4">
        <w:rPr>
          <w:rFonts w:ascii="Arial" w:hAnsi="Arial" w:cs="Arial"/>
          <w:b/>
          <w:sz w:val="28"/>
          <w:szCs w:val="28"/>
        </w:rPr>
        <w:t xml:space="preserve">Interdisciplinary Research </w:t>
      </w:r>
      <w:r>
        <w:rPr>
          <w:rFonts w:ascii="Arial" w:hAnsi="Arial" w:cs="Arial"/>
          <w:b/>
          <w:sz w:val="28"/>
          <w:szCs w:val="28"/>
        </w:rPr>
        <w:t>A</w:t>
      </w:r>
      <w:r w:rsidRPr="000C4CE4">
        <w:rPr>
          <w:rFonts w:ascii="Arial" w:hAnsi="Arial" w:cs="Arial"/>
          <w:b/>
          <w:sz w:val="28"/>
          <w:szCs w:val="28"/>
        </w:rPr>
        <w:t>dvisory Panel (</w:t>
      </w:r>
      <w:r>
        <w:rPr>
          <w:rFonts w:ascii="Arial" w:hAnsi="Arial" w:cs="Arial"/>
          <w:b/>
          <w:sz w:val="28"/>
          <w:szCs w:val="28"/>
        </w:rPr>
        <w:t>IDAP</w:t>
      </w:r>
      <w:r w:rsidRPr="000C4CE4">
        <w:rPr>
          <w:rFonts w:ascii="Arial" w:hAnsi="Arial" w:cs="Arial"/>
          <w:b/>
          <w:sz w:val="28"/>
          <w:szCs w:val="28"/>
        </w:rPr>
        <w:t>)</w:t>
      </w:r>
    </w:p>
    <w:p w14:paraId="1ADED835" w14:textId="77777777" w:rsidR="00C57F29" w:rsidRDefault="00C57F29" w:rsidP="007B29A2">
      <w:pPr>
        <w:spacing w:after="0" w:line="300" w:lineRule="atLeast"/>
        <w:rPr>
          <w:rFonts w:ascii="Arial" w:hAnsi="Arial" w:cs="Arial"/>
          <w:b/>
        </w:rPr>
      </w:pPr>
    </w:p>
    <w:p w14:paraId="72191AEE" w14:textId="77777777" w:rsidR="00C57F29" w:rsidRDefault="00C57F29" w:rsidP="007B29A2">
      <w:pPr>
        <w:spacing w:after="0" w:line="300" w:lineRule="atLeast"/>
        <w:rPr>
          <w:rFonts w:ascii="Arial" w:hAnsi="Arial" w:cs="Arial"/>
          <w:b/>
        </w:rPr>
      </w:pPr>
    </w:p>
    <w:p w14:paraId="01DEAD16" w14:textId="77777777" w:rsidR="00233858" w:rsidRPr="000C4CE4" w:rsidRDefault="00233858" w:rsidP="007B29A2">
      <w:pPr>
        <w:spacing w:after="0" w:line="300" w:lineRule="atLeast"/>
        <w:rPr>
          <w:rFonts w:ascii="Arial" w:hAnsi="Arial" w:cs="Arial"/>
          <w:b/>
        </w:rPr>
      </w:pPr>
      <w:r w:rsidRPr="000C4CE4">
        <w:rPr>
          <w:rFonts w:ascii="Arial" w:hAnsi="Arial" w:cs="Arial"/>
          <w:b/>
        </w:rPr>
        <w:t xml:space="preserve">Background </w:t>
      </w:r>
    </w:p>
    <w:p w14:paraId="56A2D086" w14:textId="77777777" w:rsidR="00233858" w:rsidRPr="007E3E88" w:rsidRDefault="00233858" w:rsidP="007B29A2">
      <w:pPr>
        <w:pStyle w:val="ListParagraph"/>
        <w:numPr>
          <w:ilvl w:val="0"/>
          <w:numId w:val="19"/>
        </w:numPr>
        <w:spacing w:after="0" w:line="300" w:lineRule="atLeast"/>
        <w:contextualSpacing w:val="0"/>
        <w:rPr>
          <w:rFonts w:ascii="Arial" w:hAnsi="Arial" w:cs="Arial"/>
          <w:b/>
        </w:rPr>
      </w:pPr>
      <w:r w:rsidRPr="000C4CE4">
        <w:rPr>
          <w:rFonts w:ascii="Arial" w:hAnsi="Arial" w:cs="Arial"/>
        </w:rPr>
        <w:t>The four UK higher education funding bodies are committed to supporting and promoting interdisciplinary research and breaking down perceived barriers to submitting interdisciplinary research to the Research Excellence Framework (REF).</w:t>
      </w:r>
    </w:p>
    <w:p w14:paraId="6F737674" w14:textId="77777777" w:rsidR="007E3E88" w:rsidRPr="000C4CE4" w:rsidRDefault="007E3E88" w:rsidP="007E3E88">
      <w:pPr>
        <w:pStyle w:val="ListParagraph"/>
        <w:spacing w:after="0" w:line="300" w:lineRule="atLeast"/>
        <w:ind w:left="0"/>
        <w:contextualSpacing w:val="0"/>
        <w:rPr>
          <w:rFonts w:ascii="Arial" w:hAnsi="Arial" w:cs="Arial"/>
          <w:b/>
        </w:rPr>
      </w:pPr>
    </w:p>
    <w:p w14:paraId="3F2692FA" w14:textId="77777777" w:rsidR="00233858" w:rsidRPr="000C4CE4" w:rsidRDefault="00233858" w:rsidP="007B29A2">
      <w:pPr>
        <w:pStyle w:val="ListParagraph"/>
        <w:numPr>
          <w:ilvl w:val="0"/>
          <w:numId w:val="19"/>
        </w:numPr>
        <w:spacing w:after="0" w:line="300" w:lineRule="atLeast"/>
        <w:contextualSpacing w:val="0"/>
        <w:rPr>
          <w:rFonts w:ascii="Arial" w:hAnsi="Arial" w:cs="Arial"/>
          <w:b/>
        </w:rPr>
      </w:pPr>
      <w:r w:rsidRPr="000C4CE4">
        <w:rPr>
          <w:rFonts w:ascii="Arial" w:hAnsi="Arial" w:cs="Arial"/>
        </w:rPr>
        <w:t>Lord Stern’s independent review of the REF in 2016 was mindful of the great potential of interdisciplinary research and commented on perceptions that interdisciplinary work was disadvantaged by the 2014 REF and perceived to be regarded less favourably than mono-disciplinary research. An analysis of outputs submitted to the 2014 REF</w:t>
      </w:r>
      <w:r w:rsidRPr="000C4CE4">
        <w:rPr>
          <w:rStyle w:val="FootnoteReference"/>
          <w:rFonts w:ascii="Arial" w:hAnsi="Arial" w:cs="Arial"/>
        </w:rPr>
        <w:footnoteReference w:id="15"/>
      </w:r>
      <w:r w:rsidRPr="000C4CE4">
        <w:rPr>
          <w:rFonts w:ascii="Arial" w:hAnsi="Arial" w:cs="Arial"/>
        </w:rPr>
        <w:t xml:space="preserve"> also observed a lower proportion of the most interdisciplinary publications than has been observed for the UK as a whole.</w:t>
      </w:r>
    </w:p>
    <w:p w14:paraId="3B943268" w14:textId="77777777" w:rsidR="007E3E88" w:rsidRPr="007E3E88" w:rsidRDefault="007E3E88" w:rsidP="007E3E88">
      <w:pPr>
        <w:pStyle w:val="ListParagraph"/>
        <w:spacing w:after="0" w:line="300" w:lineRule="atLeast"/>
        <w:ind w:left="0"/>
        <w:contextualSpacing w:val="0"/>
        <w:rPr>
          <w:rFonts w:ascii="Arial" w:hAnsi="Arial" w:cs="Arial"/>
          <w:b/>
        </w:rPr>
      </w:pPr>
    </w:p>
    <w:p w14:paraId="45E159AF" w14:textId="77777777" w:rsidR="00233858" w:rsidRPr="007E3E88" w:rsidRDefault="00233858" w:rsidP="007B29A2">
      <w:pPr>
        <w:pStyle w:val="ListParagraph"/>
        <w:numPr>
          <w:ilvl w:val="0"/>
          <w:numId w:val="19"/>
        </w:numPr>
        <w:spacing w:after="0" w:line="300" w:lineRule="atLeast"/>
        <w:contextualSpacing w:val="0"/>
        <w:rPr>
          <w:rFonts w:ascii="Arial" w:hAnsi="Arial" w:cs="Arial"/>
          <w:b/>
        </w:rPr>
      </w:pPr>
      <w:r w:rsidRPr="000C4CE4">
        <w:rPr>
          <w:rFonts w:ascii="Arial" w:hAnsi="Arial" w:cs="Arial"/>
        </w:rPr>
        <w:t>HEFCE have significantly enhanced the evidence base around IDR since the outcomes of REF2014 and, combined with work others have commissioned, there is a strong foundation on which to build.</w:t>
      </w:r>
    </w:p>
    <w:p w14:paraId="23C40F24" w14:textId="77777777" w:rsidR="007E3E88" w:rsidRPr="000C4CE4" w:rsidRDefault="007E3E88" w:rsidP="007E3E88">
      <w:pPr>
        <w:pStyle w:val="ListParagraph"/>
        <w:spacing w:after="0" w:line="300" w:lineRule="atLeast"/>
        <w:ind w:left="0"/>
        <w:contextualSpacing w:val="0"/>
        <w:rPr>
          <w:rFonts w:ascii="Arial" w:hAnsi="Arial" w:cs="Arial"/>
          <w:b/>
        </w:rPr>
      </w:pPr>
    </w:p>
    <w:p w14:paraId="713A78BF" w14:textId="77777777" w:rsidR="00233858" w:rsidRPr="007E3E88" w:rsidRDefault="00233858" w:rsidP="007B29A2">
      <w:pPr>
        <w:pStyle w:val="ListParagraph"/>
        <w:spacing w:after="0" w:line="300" w:lineRule="atLeast"/>
        <w:ind w:left="0"/>
        <w:rPr>
          <w:rFonts w:ascii="Arial" w:hAnsi="Arial" w:cs="Arial"/>
          <w:b/>
        </w:rPr>
      </w:pPr>
      <w:r w:rsidRPr="007E3E88">
        <w:rPr>
          <w:rFonts w:ascii="Arial" w:hAnsi="Arial" w:cs="Arial"/>
          <w:b/>
        </w:rPr>
        <w:t>Aims of the panel</w:t>
      </w:r>
    </w:p>
    <w:p w14:paraId="6B371FFC" w14:textId="77777777" w:rsidR="00233858" w:rsidRPr="000C4CE4" w:rsidRDefault="00233858" w:rsidP="007B29A2">
      <w:pPr>
        <w:pStyle w:val="ListParagraph"/>
        <w:numPr>
          <w:ilvl w:val="0"/>
          <w:numId w:val="19"/>
        </w:numPr>
        <w:spacing w:after="0" w:line="300" w:lineRule="atLeast"/>
        <w:contextualSpacing w:val="0"/>
        <w:rPr>
          <w:rFonts w:ascii="Arial" w:hAnsi="Arial" w:cs="Arial"/>
          <w:b/>
        </w:rPr>
      </w:pPr>
      <w:r w:rsidRPr="000C4CE4">
        <w:rPr>
          <w:rFonts w:ascii="Arial" w:hAnsi="Arial" w:cs="Arial"/>
        </w:rPr>
        <w:t>To ensure that REF 2021 supports the submission and fair assessment of interdisciplinary research, and that this is clearly demonstrated during the development and implementation of the exercise.</w:t>
      </w:r>
    </w:p>
    <w:p w14:paraId="3385A21C" w14:textId="77777777" w:rsidR="007E3E88" w:rsidRDefault="007E3E88" w:rsidP="007B29A2">
      <w:pPr>
        <w:pStyle w:val="ListParagraph"/>
        <w:spacing w:after="0" w:line="300" w:lineRule="atLeast"/>
        <w:ind w:left="0"/>
        <w:rPr>
          <w:rFonts w:ascii="Arial" w:hAnsi="Arial" w:cs="Arial"/>
          <w:bCs/>
          <w:iCs/>
        </w:rPr>
      </w:pPr>
    </w:p>
    <w:p w14:paraId="3CD2F644" w14:textId="77777777" w:rsidR="00233858" w:rsidRPr="007E3E88" w:rsidRDefault="00233858" w:rsidP="007B29A2">
      <w:pPr>
        <w:pStyle w:val="ListParagraph"/>
        <w:spacing w:after="0" w:line="300" w:lineRule="atLeast"/>
        <w:ind w:left="0"/>
        <w:rPr>
          <w:rFonts w:ascii="Arial" w:hAnsi="Arial" w:cs="Arial"/>
          <w:b/>
          <w:bCs/>
          <w:iCs/>
        </w:rPr>
      </w:pPr>
      <w:r w:rsidRPr="007E3E88">
        <w:rPr>
          <w:rFonts w:ascii="Arial" w:hAnsi="Arial" w:cs="Arial"/>
          <w:b/>
          <w:bCs/>
          <w:iCs/>
        </w:rPr>
        <w:t>Terms of Reference</w:t>
      </w:r>
    </w:p>
    <w:p w14:paraId="043E61F4" w14:textId="77777777" w:rsidR="00233858" w:rsidRPr="000C4CE4" w:rsidRDefault="00233858" w:rsidP="007B29A2">
      <w:pPr>
        <w:pStyle w:val="ListParagraph"/>
        <w:numPr>
          <w:ilvl w:val="0"/>
          <w:numId w:val="19"/>
        </w:numPr>
        <w:spacing w:after="0" w:line="300" w:lineRule="atLeast"/>
        <w:contextualSpacing w:val="0"/>
        <w:rPr>
          <w:rFonts w:ascii="Arial" w:hAnsi="Arial" w:cs="Arial"/>
          <w:b/>
        </w:rPr>
      </w:pPr>
      <w:r w:rsidRPr="000C4CE4">
        <w:rPr>
          <w:rFonts w:ascii="Arial" w:hAnsi="Arial" w:cs="Arial"/>
        </w:rPr>
        <w:t xml:space="preserve">The REF Interdisciplinary research advisory panel (IDAP) has been established to provide advice to the REF team, REF panel chairs and the UK funding bodies on the development and implementation of the approach to interdisciplinary research in the REF and is intended to demonstrate the UK funding bodies’ commitment to interdisciplinary research. </w:t>
      </w:r>
    </w:p>
    <w:p w14:paraId="28A8D155" w14:textId="77777777" w:rsidR="007E3E88" w:rsidRPr="007E3E88" w:rsidRDefault="007E3E88" w:rsidP="007E3E88">
      <w:pPr>
        <w:pStyle w:val="ListParagraph"/>
        <w:spacing w:after="0" w:line="300" w:lineRule="atLeast"/>
        <w:ind w:left="0"/>
        <w:contextualSpacing w:val="0"/>
        <w:rPr>
          <w:rFonts w:ascii="Arial" w:hAnsi="Arial" w:cs="Arial"/>
          <w:b/>
        </w:rPr>
      </w:pPr>
    </w:p>
    <w:p w14:paraId="6840798C" w14:textId="77777777" w:rsidR="00233858" w:rsidRPr="007E3E88" w:rsidRDefault="00233858" w:rsidP="007B29A2">
      <w:pPr>
        <w:pStyle w:val="ListParagraph"/>
        <w:numPr>
          <w:ilvl w:val="0"/>
          <w:numId w:val="19"/>
        </w:numPr>
        <w:spacing w:after="0" w:line="300" w:lineRule="atLeast"/>
        <w:contextualSpacing w:val="0"/>
        <w:rPr>
          <w:rFonts w:ascii="Arial" w:hAnsi="Arial" w:cs="Arial"/>
          <w:b/>
        </w:rPr>
      </w:pPr>
      <w:r w:rsidRPr="000C4CE4">
        <w:rPr>
          <w:rFonts w:ascii="Arial" w:hAnsi="Arial" w:cs="Arial"/>
        </w:rPr>
        <w:t>These terms of reference are intended to cover the criteria phase of the next exercise. IDAP will deliver the following objectives:</w:t>
      </w:r>
    </w:p>
    <w:p w14:paraId="3F5E99C5" w14:textId="77777777" w:rsidR="007E3E88" w:rsidRPr="000C4CE4" w:rsidRDefault="007E3E88" w:rsidP="007E3E88">
      <w:pPr>
        <w:pStyle w:val="ListParagraph"/>
        <w:spacing w:after="0" w:line="300" w:lineRule="atLeast"/>
        <w:ind w:left="0"/>
        <w:contextualSpacing w:val="0"/>
        <w:rPr>
          <w:rFonts w:ascii="Arial" w:hAnsi="Arial" w:cs="Arial"/>
          <w:b/>
        </w:rPr>
      </w:pPr>
    </w:p>
    <w:p w14:paraId="0C83DAA3" w14:textId="77777777" w:rsidR="00233858" w:rsidRPr="000C4CE4" w:rsidRDefault="00233858" w:rsidP="007B29A2">
      <w:pPr>
        <w:pStyle w:val="ListParagraph"/>
        <w:numPr>
          <w:ilvl w:val="1"/>
          <w:numId w:val="19"/>
        </w:numPr>
        <w:spacing w:after="0" w:line="300" w:lineRule="atLeast"/>
        <w:rPr>
          <w:rFonts w:ascii="Arial" w:hAnsi="Arial" w:cs="Arial"/>
          <w:b/>
        </w:rPr>
      </w:pPr>
      <w:r w:rsidRPr="000C4CE4">
        <w:rPr>
          <w:rFonts w:ascii="Arial" w:hAnsi="Arial" w:cs="Arial"/>
        </w:rPr>
        <w:t>Provide advice to the HE Funding Bodies on the initial decisions for REF2021 following formal sector consultation in 2017.</w:t>
      </w:r>
    </w:p>
    <w:p w14:paraId="4AED8CB5" w14:textId="77777777" w:rsidR="00233858" w:rsidRPr="000C4CE4" w:rsidRDefault="00233858" w:rsidP="007B29A2">
      <w:pPr>
        <w:pStyle w:val="ListParagraph"/>
        <w:numPr>
          <w:ilvl w:val="1"/>
          <w:numId w:val="19"/>
        </w:numPr>
        <w:spacing w:after="0" w:line="300" w:lineRule="atLeast"/>
        <w:rPr>
          <w:rFonts w:ascii="Arial" w:hAnsi="Arial" w:cs="Arial"/>
          <w:b/>
        </w:rPr>
      </w:pPr>
      <w:r w:rsidRPr="000C4CE4">
        <w:rPr>
          <w:rFonts w:ascii="Arial" w:hAnsi="Arial" w:cs="Arial"/>
        </w:rPr>
        <w:t>Support the development of interdisciplinary aspects of any REF2021 pilot activity.</w:t>
      </w:r>
    </w:p>
    <w:p w14:paraId="0FF1203B" w14:textId="77777777" w:rsidR="00233858" w:rsidRPr="000C4CE4" w:rsidRDefault="00233858" w:rsidP="007B29A2">
      <w:pPr>
        <w:pStyle w:val="ListParagraph"/>
        <w:numPr>
          <w:ilvl w:val="1"/>
          <w:numId w:val="19"/>
        </w:numPr>
        <w:spacing w:after="0" w:line="300" w:lineRule="atLeast"/>
        <w:rPr>
          <w:rFonts w:ascii="Arial" w:hAnsi="Arial" w:cs="Arial"/>
          <w:b/>
        </w:rPr>
      </w:pPr>
      <w:r w:rsidRPr="000C4CE4">
        <w:rPr>
          <w:rFonts w:ascii="Arial" w:hAnsi="Arial" w:cs="Arial"/>
        </w:rPr>
        <w:t>Provide advice and oversight on the assessment criteria with respect to IDR during the criteria setting phases of REF2021.</w:t>
      </w:r>
    </w:p>
    <w:p w14:paraId="306E3494" w14:textId="77777777" w:rsidR="00233858" w:rsidRPr="000C4CE4" w:rsidRDefault="00233858" w:rsidP="007B29A2">
      <w:pPr>
        <w:pStyle w:val="ListParagraph"/>
        <w:spacing w:after="0" w:line="300" w:lineRule="atLeast"/>
        <w:ind w:left="567"/>
        <w:rPr>
          <w:rFonts w:ascii="Arial" w:hAnsi="Arial" w:cs="Arial"/>
          <w:b/>
        </w:rPr>
      </w:pPr>
    </w:p>
    <w:p w14:paraId="54549EB6" w14:textId="77777777" w:rsidR="00233858" w:rsidRPr="000C4CE4" w:rsidRDefault="00233858" w:rsidP="007B29A2">
      <w:pPr>
        <w:pStyle w:val="ListParagraph"/>
        <w:numPr>
          <w:ilvl w:val="0"/>
          <w:numId w:val="19"/>
        </w:numPr>
        <w:spacing w:after="0" w:line="300" w:lineRule="atLeast"/>
        <w:rPr>
          <w:rFonts w:ascii="Arial" w:hAnsi="Arial" w:cs="Arial"/>
          <w:b/>
        </w:rPr>
      </w:pPr>
      <w:r w:rsidRPr="000C4CE4">
        <w:rPr>
          <w:rFonts w:ascii="Arial" w:hAnsi="Arial" w:cs="Arial"/>
        </w:rPr>
        <w:t xml:space="preserve">IDAP will be invited to advise on the most appropriate arrangements for ensuring oversight, assessment and the provision of advice about IDR in the submission and assessment phases of REF 2021. At the end of the criteria phase, IDAP will be required to provide a report to summarise its work and provide any further advice to the sector </w:t>
      </w:r>
    </w:p>
    <w:p w14:paraId="4D59844F" w14:textId="77777777" w:rsidR="00233858" w:rsidRPr="000C4CE4" w:rsidRDefault="00233858" w:rsidP="007B29A2">
      <w:pPr>
        <w:pStyle w:val="ListParagraph"/>
        <w:spacing w:after="0" w:line="300" w:lineRule="atLeast"/>
        <w:ind w:left="567"/>
        <w:rPr>
          <w:rFonts w:ascii="Arial" w:hAnsi="Arial" w:cs="Arial"/>
          <w:b/>
        </w:rPr>
      </w:pPr>
    </w:p>
    <w:p w14:paraId="7E359C84" w14:textId="77777777" w:rsidR="00233858" w:rsidRPr="000C4CE4" w:rsidRDefault="00233858" w:rsidP="007B29A2">
      <w:pPr>
        <w:pStyle w:val="ListParagraph"/>
        <w:numPr>
          <w:ilvl w:val="0"/>
          <w:numId w:val="19"/>
        </w:numPr>
        <w:spacing w:after="0" w:line="300" w:lineRule="atLeast"/>
        <w:contextualSpacing w:val="0"/>
        <w:rPr>
          <w:rFonts w:ascii="Arial" w:hAnsi="Arial" w:cs="Arial"/>
          <w:b/>
        </w:rPr>
      </w:pPr>
      <w:r w:rsidRPr="000C4CE4">
        <w:rPr>
          <w:rFonts w:ascii="Arial" w:hAnsi="Arial" w:cs="Arial"/>
        </w:rPr>
        <w:t>The chair (or deputy, where appropriate) of the IDAP will undertake an ambassadorial role to explain and promote the measures taken to support IDR in the REF in order to relieve any perceptions in the sector that interdisciplinary research is treated less favourably.</w:t>
      </w:r>
    </w:p>
    <w:p w14:paraId="1ABA324C" w14:textId="77777777" w:rsidR="007E3E88" w:rsidRDefault="007E3E88" w:rsidP="007B29A2">
      <w:pPr>
        <w:pStyle w:val="ListParagraph"/>
        <w:spacing w:after="0" w:line="300" w:lineRule="atLeast"/>
        <w:ind w:left="0"/>
        <w:rPr>
          <w:rFonts w:ascii="Arial" w:hAnsi="Arial" w:cs="Arial"/>
          <w:u w:val="single"/>
        </w:rPr>
      </w:pPr>
    </w:p>
    <w:p w14:paraId="69C281A4" w14:textId="77777777" w:rsidR="00233858" w:rsidRPr="007E3E88" w:rsidRDefault="00233858" w:rsidP="007B29A2">
      <w:pPr>
        <w:pStyle w:val="ListParagraph"/>
        <w:spacing w:after="0" w:line="300" w:lineRule="atLeast"/>
        <w:ind w:left="0"/>
        <w:rPr>
          <w:rFonts w:ascii="Arial" w:hAnsi="Arial" w:cs="Arial"/>
          <w:b/>
        </w:rPr>
      </w:pPr>
      <w:r w:rsidRPr="007E3E88">
        <w:rPr>
          <w:rFonts w:ascii="Arial" w:hAnsi="Arial" w:cs="Arial"/>
          <w:b/>
        </w:rPr>
        <w:t>Working methods</w:t>
      </w:r>
    </w:p>
    <w:p w14:paraId="65F45CFF" w14:textId="77777777" w:rsidR="00233858" w:rsidRPr="000C4CE4" w:rsidRDefault="00233858" w:rsidP="007B29A2">
      <w:pPr>
        <w:pStyle w:val="ListParagraph"/>
        <w:numPr>
          <w:ilvl w:val="0"/>
          <w:numId w:val="19"/>
        </w:numPr>
        <w:spacing w:after="0" w:line="300" w:lineRule="atLeast"/>
        <w:rPr>
          <w:rFonts w:ascii="Arial" w:hAnsi="Arial" w:cs="Arial"/>
          <w:b/>
        </w:rPr>
      </w:pPr>
      <w:r w:rsidRPr="000C4CE4">
        <w:rPr>
          <w:rFonts w:ascii="Arial" w:hAnsi="Arial" w:cs="Arial"/>
        </w:rPr>
        <w:t>The IDAP will include a maximum of 15 academic experts (UK or international) in the process or practice of, or delivery of impact arising from, IDR. The research expertise of the panel will cover the broad spectrum of disciplines</w:t>
      </w:r>
    </w:p>
    <w:p w14:paraId="6AA09C78" w14:textId="77777777" w:rsidR="00233858" w:rsidRPr="000C4CE4" w:rsidRDefault="00233858" w:rsidP="007B29A2">
      <w:pPr>
        <w:pStyle w:val="ListParagraph"/>
        <w:spacing w:after="0" w:line="300" w:lineRule="atLeast"/>
        <w:ind w:left="0"/>
        <w:rPr>
          <w:rFonts w:ascii="Arial" w:hAnsi="Arial" w:cs="Arial"/>
          <w:b/>
        </w:rPr>
      </w:pPr>
    </w:p>
    <w:p w14:paraId="2E9F8EC5" w14:textId="77777777" w:rsidR="00233858" w:rsidRPr="007E3E88" w:rsidRDefault="00233858" w:rsidP="007B29A2">
      <w:pPr>
        <w:pStyle w:val="ListParagraph"/>
        <w:numPr>
          <w:ilvl w:val="0"/>
          <w:numId w:val="19"/>
        </w:numPr>
        <w:spacing w:after="0" w:line="300" w:lineRule="atLeast"/>
        <w:rPr>
          <w:rFonts w:ascii="Arial" w:hAnsi="Arial" w:cs="Arial"/>
          <w:b/>
        </w:rPr>
      </w:pPr>
      <w:r w:rsidRPr="000C4CE4">
        <w:rPr>
          <w:rFonts w:ascii="Arial" w:hAnsi="Arial" w:cs="Arial"/>
        </w:rPr>
        <w:t>The panel will be required to meet as follows during the criteria phase:</w:t>
      </w:r>
    </w:p>
    <w:p w14:paraId="4A525843" w14:textId="77777777" w:rsidR="007E3E88" w:rsidRPr="000C4CE4" w:rsidRDefault="007E3E88" w:rsidP="007E3E88">
      <w:pPr>
        <w:pStyle w:val="ListParagraph"/>
        <w:spacing w:after="0" w:line="300" w:lineRule="atLeast"/>
        <w:ind w:left="0"/>
        <w:rPr>
          <w:rFonts w:ascii="Arial" w:hAnsi="Arial" w:cs="Arial"/>
          <w:b/>
        </w:rPr>
      </w:pPr>
    </w:p>
    <w:p w14:paraId="3A34F9FA" w14:textId="77777777" w:rsidR="00233858" w:rsidRPr="000C4CE4" w:rsidRDefault="00233858" w:rsidP="007B29A2">
      <w:pPr>
        <w:pStyle w:val="ListParagraph"/>
        <w:numPr>
          <w:ilvl w:val="1"/>
          <w:numId w:val="23"/>
        </w:numPr>
        <w:spacing w:after="0" w:line="300" w:lineRule="atLeast"/>
        <w:contextualSpacing w:val="0"/>
        <w:rPr>
          <w:rFonts w:ascii="Arial" w:hAnsi="Arial" w:cs="Arial"/>
          <w:b/>
        </w:rPr>
      </w:pPr>
      <w:r w:rsidRPr="000C4CE4">
        <w:rPr>
          <w:rFonts w:ascii="Arial" w:hAnsi="Arial" w:cs="Arial"/>
        </w:rPr>
        <w:t xml:space="preserve">Two meetings in 2017; to input into the initial decisions and pilot activity. </w:t>
      </w:r>
    </w:p>
    <w:p w14:paraId="1D66C091" w14:textId="77777777" w:rsidR="00233858" w:rsidRPr="000C4CE4" w:rsidRDefault="00233858" w:rsidP="007B29A2">
      <w:pPr>
        <w:pStyle w:val="ListParagraph"/>
        <w:numPr>
          <w:ilvl w:val="1"/>
          <w:numId w:val="23"/>
        </w:numPr>
        <w:spacing w:after="0" w:line="300" w:lineRule="atLeast"/>
        <w:contextualSpacing w:val="0"/>
        <w:rPr>
          <w:rFonts w:ascii="Arial" w:hAnsi="Arial" w:cs="Arial"/>
          <w:b/>
        </w:rPr>
      </w:pPr>
      <w:r w:rsidRPr="000C4CE4">
        <w:rPr>
          <w:rFonts w:ascii="Arial" w:hAnsi="Arial" w:cs="Arial"/>
        </w:rPr>
        <w:t>Two meetings in 2018; to inform the development of further REF guidance and criteria.</w:t>
      </w:r>
    </w:p>
    <w:p w14:paraId="74285503" w14:textId="77777777" w:rsidR="007E3E88" w:rsidRPr="007E3E88" w:rsidRDefault="007E3E88" w:rsidP="007E3E88">
      <w:pPr>
        <w:pStyle w:val="ListParagraph"/>
        <w:spacing w:after="0" w:line="300" w:lineRule="atLeast"/>
        <w:ind w:left="0"/>
        <w:rPr>
          <w:rFonts w:ascii="Arial" w:hAnsi="Arial" w:cs="Arial"/>
          <w:b/>
        </w:rPr>
      </w:pPr>
    </w:p>
    <w:p w14:paraId="09F63EDD" w14:textId="77777777" w:rsidR="00233858" w:rsidRPr="000C4CE4" w:rsidRDefault="00233858" w:rsidP="007B29A2">
      <w:pPr>
        <w:pStyle w:val="ListParagraph"/>
        <w:numPr>
          <w:ilvl w:val="0"/>
          <w:numId w:val="19"/>
        </w:numPr>
        <w:spacing w:after="0" w:line="300" w:lineRule="atLeast"/>
        <w:rPr>
          <w:rFonts w:ascii="Arial" w:hAnsi="Arial" w:cs="Arial"/>
          <w:b/>
        </w:rPr>
      </w:pPr>
      <w:r w:rsidRPr="000C4CE4">
        <w:rPr>
          <w:rFonts w:ascii="Arial" w:hAnsi="Arial" w:cs="Arial"/>
        </w:rPr>
        <w:t>The panel will be subject to confidentiality arrangements and will be required to declare any conflicts of interest.</w:t>
      </w:r>
    </w:p>
    <w:p w14:paraId="46D66300" w14:textId="77777777" w:rsidR="00233858" w:rsidRDefault="00233858" w:rsidP="007B29A2">
      <w:pPr>
        <w:pStyle w:val="Heading4"/>
        <w:spacing w:before="0" w:line="300" w:lineRule="atLeast"/>
        <w:rPr>
          <w:b/>
        </w:rPr>
      </w:pPr>
      <w:r w:rsidRPr="00E35981">
        <w:t xml:space="preserve"> </w:t>
      </w:r>
    </w:p>
    <w:p w14:paraId="29A0D21D" w14:textId="77777777" w:rsidR="00233858" w:rsidRPr="00587085" w:rsidRDefault="00233858" w:rsidP="007B29A2">
      <w:pPr>
        <w:spacing w:after="0" w:line="300" w:lineRule="atLeast"/>
      </w:pPr>
    </w:p>
    <w:p w14:paraId="61C05B7E" w14:textId="77777777" w:rsidR="00626B80" w:rsidRPr="00AA1EB0" w:rsidRDefault="00626B80" w:rsidP="007B29A2">
      <w:pPr>
        <w:spacing w:after="0" w:line="300" w:lineRule="atLeast"/>
        <w:rPr>
          <w:rFonts w:ascii="Arial" w:hAnsi="Arial" w:cs="Arial"/>
        </w:rPr>
      </w:pPr>
      <w:r w:rsidRPr="00AA1EB0">
        <w:rPr>
          <w:rFonts w:ascii="Arial" w:hAnsi="Arial" w:cs="Arial"/>
        </w:rPr>
        <w:tab/>
      </w:r>
    </w:p>
    <w:p w14:paraId="2B82D614" w14:textId="47B12B84" w:rsidR="005B5A01" w:rsidRDefault="005B5A01" w:rsidP="007B29A2">
      <w:pPr>
        <w:spacing w:after="0" w:line="300" w:lineRule="atLeast"/>
        <w:rPr>
          <w:rFonts w:ascii="Arial" w:hAnsi="Arial" w:cs="Arial"/>
        </w:rPr>
      </w:pPr>
      <w:r>
        <w:rPr>
          <w:rFonts w:ascii="Arial" w:hAnsi="Arial" w:cs="Arial"/>
        </w:rPr>
        <w:br w:type="page"/>
      </w:r>
    </w:p>
    <w:tbl>
      <w:tblPr>
        <w:tblW w:w="9498" w:type="dxa"/>
        <w:tblInd w:w="-289" w:type="dxa"/>
        <w:tblLook w:val="04A0" w:firstRow="1" w:lastRow="0" w:firstColumn="1" w:lastColumn="0" w:noHBand="0" w:noVBand="1"/>
      </w:tblPr>
      <w:tblGrid>
        <w:gridCol w:w="3497"/>
        <w:gridCol w:w="6001"/>
      </w:tblGrid>
      <w:tr w:rsidR="00193209" w:rsidRPr="00FE1D87" w14:paraId="47731DE4" w14:textId="4476E236" w:rsidTr="00193209">
        <w:trPr>
          <w:trHeight w:val="907"/>
        </w:trPr>
        <w:tc>
          <w:tcPr>
            <w:tcW w:w="9498" w:type="dxa"/>
            <w:gridSpan w:val="2"/>
            <w:tcBorders>
              <w:top w:val="single" w:sz="4" w:space="0" w:color="auto"/>
              <w:left w:val="single" w:sz="4" w:space="0" w:color="auto"/>
              <w:bottom w:val="single" w:sz="4" w:space="0" w:color="auto"/>
              <w:right w:val="single" w:sz="4" w:space="0" w:color="auto"/>
            </w:tcBorders>
            <w:shd w:val="clear" w:color="000000" w:fill="DFE0E1"/>
            <w:vAlign w:val="center"/>
          </w:tcPr>
          <w:p w14:paraId="1FD1040A" w14:textId="005F8150" w:rsidR="00193209" w:rsidRPr="00FE1D87" w:rsidRDefault="00193209" w:rsidP="0034062C">
            <w:pPr>
              <w:pStyle w:val="Heading1"/>
            </w:pPr>
            <w:bookmarkStart w:id="31" w:name="_Toc3200592"/>
            <w:r>
              <w:rPr>
                <w:rFonts w:ascii="Arial" w:eastAsia="Times New Roman" w:hAnsi="Arial" w:cs="Arial"/>
                <w:b/>
                <w:bCs/>
                <w:color w:val="4D738A"/>
                <w:sz w:val="28"/>
                <w:szCs w:val="28"/>
              </w:rPr>
              <w:t xml:space="preserve">Annex B: </w:t>
            </w:r>
            <w:r w:rsidRPr="00FE1D87">
              <w:rPr>
                <w:rFonts w:ascii="Arial" w:eastAsia="Times New Roman" w:hAnsi="Arial" w:cs="Arial"/>
                <w:b/>
                <w:bCs/>
                <w:color w:val="4D738A"/>
                <w:sz w:val="28"/>
                <w:szCs w:val="28"/>
              </w:rPr>
              <w:t>Membership of the Interdisciplinary Advisory Panel (IDAP) REF 2021</w:t>
            </w:r>
            <w:bookmarkEnd w:id="31"/>
          </w:p>
        </w:tc>
      </w:tr>
      <w:tr w:rsidR="00193209" w:rsidRPr="00FE1D87" w14:paraId="2C70588D" w14:textId="77777777" w:rsidTr="00193209">
        <w:trPr>
          <w:trHeight w:val="300"/>
        </w:trPr>
        <w:tc>
          <w:tcPr>
            <w:tcW w:w="3497" w:type="dxa"/>
            <w:vMerge w:val="restart"/>
            <w:tcBorders>
              <w:top w:val="single" w:sz="4" w:space="0" w:color="auto"/>
              <w:left w:val="single" w:sz="4" w:space="0" w:color="auto"/>
              <w:bottom w:val="single" w:sz="4" w:space="0" w:color="auto"/>
              <w:right w:val="single" w:sz="4" w:space="0" w:color="auto"/>
            </w:tcBorders>
            <w:shd w:val="clear" w:color="000000" w:fill="DFE0E1"/>
            <w:vAlign w:val="center"/>
            <w:hideMark/>
          </w:tcPr>
          <w:p w14:paraId="264E9A68" w14:textId="77777777" w:rsidR="00193209" w:rsidRPr="00FE1D87" w:rsidRDefault="00193209" w:rsidP="00193209">
            <w:pPr>
              <w:spacing w:after="0" w:line="300" w:lineRule="atLeast"/>
              <w:jc w:val="center"/>
              <w:rPr>
                <w:rFonts w:ascii="Arial" w:eastAsia="Times New Roman" w:hAnsi="Arial" w:cs="Arial"/>
                <w:b/>
                <w:bCs/>
                <w:color w:val="4D738A"/>
              </w:rPr>
            </w:pPr>
            <w:r w:rsidRPr="00FE1D87">
              <w:rPr>
                <w:rFonts w:ascii="Arial" w:eastAsia="Times New Roman" w:hAnsi="Arial" w:cs="Arial"/>
                <w:b/>
                <w:bCs/>
                <w:color w:val="4D738A"/>
              </w:rPr>
              <w:t>Chair</w:t>
            </w:r>
          </w:p>
        </w:tc>
        <w:tc>
          <w:tcPr>
            <w:tcW w:w="6001" w:type="dxa"/>
            <w:vMerge w:val="restart"/>
            <w:tcBorders>
              <w:top w:val="single" w:sz="4" w:space="0" w:color="auto"/>
              <w:left w:val="single" w:sz="4" w:space="0" w:color="auto"/>
              <w:bottom w:val="single" w:sz="4" w:space="0" w:color="auto"/>
              <w:right w:val="single" w:sz="4" w:space="0" w:color="auto"/>
            </w:tcBorders>
            <w:shd w:val="clear" w:color="000000" w:fill="DFE0E1"/>
            <w:vAlign w:val="center"/>
            <w:hideMark/>
          </w:tcPr>
          <w:p w14:paraId="308654CF" w14:textId="77777777" w:rsidR="00193209" w:rsidRPr="00FE1D87" w:rsidRDefault="00193209" w:rsidP="00193209">
            <w:pPr>
              <w:spacing w:after="0" w:line="300" w:lineRule="atLeast"/>
              <w:jc w:val="center"/>
              <w:rPr>
                <w:rFonts w:ascii="Arial" w:eastAsia="Times New Roman" w:hAnsi="Arial" w:cs="Arial"/>
                <w:b/>
                <w:bCs/>
                <w:color w:val="4D738A"/>
              </w:rPr>
            </w:pPr>
            <w:r w:rsidRPr="00FE1D87">
              <w:rPr>
                <w:rFonts w:ascii="Arial" w:eastAsia="Times New Roman" w:hAnsi="Arial" w:cs="Arial"/>
                <w:b/>
                <w:bCs/>
                <w:color w:val="4D738A"/>
              </w:rPr>
              <w:t>Role</w:t>
            </w:r>
          </w:p>
        </w:tc>
      </w:tr>
      <w:tr w:rsidR="00193209" w:rsidRPr="00FE1D87" w14:paraId="4D411E7C" w14:textId="77777777" w:rsidTr="00193209">
        <w:trPr>
          <w:trHeight w:val="508"/>
        </w:trPr>
        <w:tc>
          <w:tcPr>
            <w:tcW w:w="3497" w:type="dxa"/>
            <w:vMerge/>
            <w:tcBorders>
              <w:top w:val="single" w:sz="4" w:space="0" w:color="auto"/>
              <w:left w:val="single" w:sz="4" w:space="0" w:color="auto"/>
              <w:bottom w:val="single" w:sz="4" w:space="0" w:color="auto"/>
              <w:right w:val="single" w:sz="4" w:space="0" w:color="auto"/>
            </w:tcBorders>
            <w:vAlign w:val="center"/>
            <w:hideMark/>
          </w:tcPr>
          <w:p w14:paraId="6D01DA68" w14:textId="77777777" w:rsidR="00193209" w:rsidRPr="00FE1D87" w:rsidRDefault="00193209" w:rsidP="00193209">
            <w:pPr>
              <w:spacing w:after="0" w:line="300" w:lineRule="atLeast"/>
              <w:rPr>
                <w:rFonts w:ascii="Arial" w:eastAsia="Times New Roman" w:hAnsi="Arial" w:cs="Arial"/>
                <w:b/>
                <w:bCs/>
                <w:color w:val="4D738A"/>
              </w:rPr>
            </w:pPr>
          </w:p>
        </w:tc>
        <w:tc>
          <w:tcPr>
            <w:tcW w:w="6001" w:type="dxa"/>
            <w:vMerge/>
            <w:tcBorders>
              <w:top w:val="single" w:sz="4" w:space="0" w:color="auto"/>
              <w:left w:val="single" w:sz="4" w:space="0" w:color="auto"/>
              <w:bottom w:val="single" w:sz="4" w:space="0" w:color="auto"/>
              <w:right w:val="single" w:sz="4" w:space="0" w:color="auto"/>
            </w:tcBorders>
            <w:vAlign w:val="center"/>
            <w:hideMark/>
          </w:tcPr>
          <w:p w14:paraId="7B24C907" w14:textId="77777777" w:rsidR="00193209" w:rsidRPr="00FE1D87" w:rsidRDefault="00193209" w:rsidP="00193209">
            <w:pPr>
              <w:spacing w:after="0" w:line="300" w:lineRule="atLeast"/>
              <w:rPr>
                <w:rFonts w:ascii="Arial" w:eastAsia="Times New Roman" w:hAnsi="Arial" w:cs="Arial"/>
                <w:b/>
                <w:bCs/>
                <w:color w:val="4D738A"/>
              </w:rPr>
            </w:pPr>
          </w:p>
        </w:tc>
      </w:tr>
      <w:tr w:rsidR="00193209" w:rsidRPr="00FE1D87" w14:paraId="61B078B1"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563B4826"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Dame Athene Donald</w:t>
            </w:r>
          </w:p>
        </w:tc>
        <w:tc>
          <w:tcPr>
            <w:tcW w:w="6001" w:type="dxa"/>
            <w:tcBorders>
              <w:top w:val="nil"/>
              <w:left w:val="nil"/>
              <w:bottom w:val="single" w:sz="4" w:space="0" w:color="auto"/>
              <w:right w:val="single" w:sz="4" w:space="0" w:color="auto"/>
            </w:tcBorders>
            <w:shd w:val="clear" w:color="000000" w:fill="FFFFFF"/>
            <w:vAlign w:val="center"/>
            <w:hideMark/>
          </w:tcPr>
          <w:p w14:paraId="3B4BB01F"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Master of Churchill College Cambridge, University of Cambridge</w:t>
            </w:r>
          </w:p>
        </w:tc>
      </w:tr>
      <w:tr w:rsidR="00193209" w:rsidRPr="00FE1D87" w14:paraId="0601D111" w14:textId="77777777" w:rsidTr="00193209">
        <w:trPr>
          <w:trHeight w:val="300"/>
        </w:trPr>
        <w:tc>
          <w:tcPr>
            <w:tcW w:w="3497" w:type="dxa"/>
            <w:vMerge w:val="restart"/>
            <w:tcBorders>
              <w:top w:val="nil"/>
              <w:left w:val="single" w:sz="4" w:space="0" w:color="auto"/>
              <w:bottom w:val="single" w:sz="4" w:space="0" w:color="auto"/>
              <w:right w:val="single" w:sz="4" w:space="0" w:color="auto"/>
            </w:tcBorders>
            <w:shd w:val="clear" w:color="000000" w:fill="DFE0E1"/>
            <w:vAlign w:val="center"/>
            <w:hideMark/>
          </w:tcPr>
          <w:p w14:paraId="4A12F990" w14:textId="77777777" w:rsidR="00193209" w:rsidRPr="00FE1D87" w:rsidRDefault="00193209" w:rsidP="00193209">
            <w:pPr>
              <w:spacing w:after="0" w:line="300" w:lineRule="atLeast"/>
              <w:jc w:val="center"/>
              <w:rPr>
                <w:rFonts w:ascii="Arial" w:eastAsia="Times New Roman" w:hAnsi="Arial" w:cs="Arial"/>
                <w:b/>
                <w:bCs/>
                <w:color w:val="4D738A"/>
              </w:rPr>
            </w:pPr>
            <w:r w:rsidRPr="00FE1D87">
              <w:rPr>
                <w:rFonts w:ascii="Arial" w:eastAsia="Times New Roman" w:hAnsi="Arial" w:cs="Arial"/>
                <w:b/>
                <w:bCs/>
                <w:color w:val="4D738A"/>
              </w:rPr>
              <w:t>Members</w:t>
            </w:r>
          </w:p>
        </w:tc>
        <w:tc>
          <w:tcPr>
            <w:tcW w:w="6001" w:type="dxa"/>
            <w:vMerge w:val="restart"/>
            <w:tcBorders>
              <w:top w:val="nil"/>
              <w:left w:val="single" w:sz="4" w:space="0" w:color="auto"/>
              <w:bottom w:val="single" w:sz="4" w:space="0" w:color="auto"/>
              <w:right w:val="single" w:sz="4" w:space="0" w:color="auto"/>
            </w:tcBorders>
            <w:shd w:val="clear" w:color="000000" w:fill="DFE0E1"/>
            <w:vAlign w:val="center"/>
            <w:hideMark/>
          </w:tcPr>
          <w:p w14:paraId="54FCEC4B" w14:textId="77777777" w:rsidR="00193209" w:rsidRPr="00FE1D87" w:rsidRDefault="00193209" w:rsidP="00193209">
            <w:pPr>
              <w:spacing w:after="0" w:line="300" w:lineRule="atLeast"/>
              <w:jc w:val="center"/>
              <w:rPr>
                <w:rFonts w:ascii="Arial" w:eastAsia="Times New Roman" w:hAnsi="Arial" w:cs="Arial"/>
                <w:b/>
                <w:bCs/>
                <w:color w:val="4D738A"/>
              </w:rPr>
            </w:pPr>
            <w:r w:rsidRPr="00FE1D87">
              <w:rPr>
                <w:rFonts w:ascii="Arial" w:eastAsia="Times New Roman" w:hAnsi="Arial" w:cs="Arial"/>
                <w:b/>
                <w:bCs/>
                <w:color w:val="4D738A"/>
              </w:rPr>
              <w:t>Role</w:t>
            </w:r>
          </w:p>
        </w:tc>
      </w:tr>
      <w:tr w:rsidR="00193209" w:rsidRPr="00FE1D87" w14:paraId="0B35158F" w14:textId="77777777" w:rsidTr="00193209">
        <w:trPr>
          <w:trHeight w:val="508"/>
        </w:trPr>
        <w:tc>
          <w:tcPr>
            <w:tcW w:w="3497" w:type="dxa"/>
            <w:vMerge/>
            <w:tcBorders>
              <w:top w:val="nil"/>
              <w:left w:val="single" w:sz="4" w:space="0" w:color="auto"/>
              <w:bottom w:val="single" w:sz="4" w:space="0" w:color="auto"/>
              <w:right w:val="single" w:sz="4" w:space="0" w:color="auto"/>
            </w:tcBorders>
            <w:vAlign w:val="center"/>
            <w:hideMark/>
          </w:tcPr>
          <w:p w14:paraId="0EBE2829" w14:textId="77777777" w:rsidR="00193209" w:rsidRPr="00FE1D87" w:rsidRDefault="00193209" w:rsidP="00193209">
            <w:pPr>
              <w:spacing w:after="0" w:line="300" w:lineRule="atLeast"/>
              <w:rPr>
                <w:rFonts w:ascii="Arial" w:eastAsia="Times New Roman" w:hAnsi="Arial" w:cs="Arial"/>
                <w:b/>
                <w:bCs/>
                <w:color w:val="4D738A"/>
              </w:rPr>
            </w:pPr>
          </w:p>
        </w:tc>
        <w:tc>
          <w:tcPr>
            <w:tcW w:w="6001" w:type="dxa"/>
            <w:vMerge/>
            <w:tcBorders>
              <w:top w:val="nil"/>
              <w:left w:val="single" w:sz="4" w:space="0" w:color="auto"/>
              <w:bottom w:val="single" w:sz="4" w:space="0" w:color="auto"/>
              <w:right w:val="single" w:sz="4" w:space="0" w:color="auto"/>
            </w:tcBorders>
            <w:vAlign w:val="center"/>
            <w:hideMark/>
          </w:tcPr>
          <w:p w14:paraId="30175C1A" w14:textId="77777777" w:rsidR="00193209" w:rsidRPr="00FE1D87" w:rsidRDefault="00193209" w:rsidP="00193209">
            <w:pPr>
              <w:spacing w:after="0" w:line="300" w:lineRule="atLeast"/>
              <w:rPr>
                <w:rFonts w:ascii="Arial" w:eastAsia="Times New Roman" w:hAnsi="Arial" w:cs="Arial"/>
                <w:b/>
                <w:bCs/>
                <w:color w:val="4D738A"/>
              </w:rPr>
            </w:pPr>
          </w:p>
        </w:tc>
      </w:tr>
      <w:tr w:rsidR="00193209" w:rsidRPr="00FE1D87" w14:paraId="74C04139"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0E88C6B3"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John Clarkson</w:t>
            </w:r>
          </w:p>
        </w:tc>
        <w:tc>
          <w:tcPr>
            <w:tcW w:w="6001" w:type="dxa"/>
            <w:tcBorders>
              <w:top w:val="nil"/>
              <w:left w:val="nil"/>
              <w:bottom w:val="single" w:sz="4" w:space="0" w:color="auto"/>
              <w:right w:val="single" w:sz="4" w:space="0" w:color="auto"/>
            </w:tcBorders>
            <w:shd w:val="clear" w:color="000000" w:fill="FFFFFF"/>
            <w:vAlign w:val="center"/>
            <w:hideMark/>
          </w:tcPr>
          <w:p w14:paraId="303B79E6"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Director, Cambridge Engineering Design Centre, University of Cambridge</w:t>
            </w:r>
          </w:p>
        </w:tc>
      </w:tr>
      <w:tr w:rsidR="00193209" w:rsidRPr="00FE1D87" w14:paraId="329DC574"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0E930B4A"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Bruce Brown   </w:t>
            </w:r>
          </w:p>
        </w:tc>
        <w:tc>
          <w:tcPr>
            <w:tcW w:w="6001" w:type="dxa"/>
            <w:tcBorders>
              <w:top w:val="nil"/>
              <w:left w:val="nil"/>
              <w:bottom w:val="single" w:sz="4" w:space="0" w:color="auto"/>
              <w:right w:val="single" w:sz="4" w:space="0" w:color="auto"/>
            </w:tcBorders>
            <w:shd w:val="clear" w:color="000000" w:fill="FFFFFF"/>
            <w:vAlign w:val="center"/>
            <w:hideMark/>
          </w:tcPr>
          <w:p w14:paraId="3A24D8CB"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Visiting Professor, Royal College of Art</w:t>
            </w:r>
          </w:p>
        </w:tc>
      </w:tr>
      <w:tr w:rsidR="00193209" w:rsidRPr="00FE1D87" w14:paraId="344E04D2"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69ACC795"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Mark d'Inverno</w:t>
            </w:r>
          </w:p>
        </w:tc>
        <w:tc>
          <w:tcPr>
            <w:tcW w:w="6001" w:type="dxa"/>
            <w:tcBorders>
              <w:top w:val="nil"/>
              <w:left w:val="nil"/>
              <w:bottom w:val="single" w:sz="4" w:space="0" w:color="auto"/>
              <w:right w:val="single" w:sz="4" w:space="0" w:color="auto"/>
            </w:tcBorders>
            <w:shd w:val="clear" w:color="000000" w:fill="FFFFFF"/>
            <w:vAlign w:val="center"/>
            <w:hideMark/>
          </w:tcPr>
          <w:p w14:paraId="2471942B"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Pro-Warden International, Goldsmiths, University of London</w:t>
            </w:r>
          </w:p>
        </w:tc>
      </w:tr>
      <w:tr w:rsidR="00193209" w:rsidRPr="00FE1D87" w14:paraId="49B53C1D"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301BC5E8"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Rick Delbridge</w:t>
            </w:r>
          </w:p>
        </w:tc>
        <w:tc>
          <w:tcPr>
            <w:tcW w:w="6001" w:type="dxa"/>
            <w:tcBorders>
              <w:top w:val="nil"/>
              <w:left w:val="nil"/>
              <w:bottom w:val="single" w:sz="4" w:space="0" w:color="auto"/>
              <w:right w:val="single" w:sz="4" w:space="0" w:color="auto"/>
            </w:tcBorders>
            <w:shd w:val="clear" w:color="000000" w:fill="FFFFFF"/>
            <w:vAlign w:val="center"/>
            <w:hideMark/>
          </w:tcPr>
          <w:p w14:paraId="3484120D"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Dean of Research, Innovation and Engagement at Cardiff University, academic lead for the Social Science Research Park (SPARK), Cardiff University</w:t>
            </w:r>
          </w:p>
        </w:tc>
      </w:tr>
      <w:tr w:rsidR="00193209" w:rsidRPr="00FE1D87" w14:paraId="7ECDD4D5"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48CFF1A3"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Dr Tori Holmes</w:t>
            </w:r>
          </w:p>
        </w:tc>
        <w:tc>
          <w:tcPr>
            <w:tcW w:w="6001" w:type="dxa"/>
            <w:tcBorders>
              <w:top w:val="nil"/>
              <w:left w:val="nil"/>
              <w:bottom w:val="single" w:sz="4" w:space="0" w:color="auto"/>
              <w:right w:val="single" w:sz="4" w:space="0" w:color="auto"/>
            </w:tcBorders>
            <w:shd w:val="clear" w:color="000000" w:fill="FFFFFF"/>
            <w:vAlign w:val="center"/>
            <w:hideMark/>
          </w:tcPr>
          <w:p w14:paraId="6C75D088" w14:textId="21BEDEE3" w:rsidR="00193209" w:rsidRPr="00FE1D87" w:rsidRDefault="00193209" w:rsidP="00324FF3">
            <w:pPr>
              <w:spacing w:after="0" w:line="300" w:lineRule="atLeast"/>
              <w:rPr>
                <w:rFonts w:ascii="Arial" w:eastAsia="Times New Roman" w:hAnsi="Arial" w:cs="Arial"/>
                <w:color w:val="000000"/>
              </w:rPr>
            </w:pPr>
            <w:r w:rsidRPr="00FE1D87">
              <w:rPr>
                <w:rFonts w:ascii="Arial" w:eastAsia="Times New Roman" w:hAnsi="Arial" w:cs="Arial"/>
                <w:color w:val="000000"/>
              </w:rPr>
              <w:t xml:space="preserve">Lecturer </w:t>
            </w:r>
            <w:r w:rsidR="00324FF3">
              <w:rPr>
                <w:rFonts w:ascii="Arial" w:eastAsia="Times New Roman" w:hAnsi="Arial" w:cs="Arial"/>
                <w:color w:val="000000"/>
              </w:rPr>
              <w:t>in Brazilian Studies</w:t>
            </w:r>
            <w:r w:rsidRPr="00FE1D87">
              <w:rPr>
                <w:rFonts w:ascii="Arial" w:eastAsia="Times New Roman" w:hAnsi="Arial" w:cs="Arial"/>
                <w:color w:val="000000"/>
              </w:rPr>
              <w:t>, Queen</w:t>
            </w:r>
            <w:r w:rsidR="00324FF3">
              <w:rPr>
                <w:rFonts w:ascii="Arial" w:eastAsia="Times New Roman" w:hAnsi="Arial" w:cs="Arial"/>
                <w:color w:val="000000"/>
              </w:rPr>
              <w:t>’</w:t>
            </w:r>
            <w:r w:rsidRPr="00FE1D87">
              <w:rPr>
                <w:rFonts w:ascii="Arial" w:eastAsia="Times New Roman" w:hAnsi="Arial" w:cs="Arial"/>
                <w:color w:val="000000"/>
              </w:rPr>
              <w:t>s University Belfast</w:t>
            </w:r>
          </w:p>
        </w:tc>
      </w:tr>
      <w:tr w:rsidR="00193209" w:rsidRPr="00FE1D87" w14:paraId="2459CF8C"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396AF115"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Hilary Lappin-Scott</w:t>
            </w:r>
          </w:p>
        </w:tc>
        <w:tc>
          <w:tcPr>
            <w:tcW w:w="6001" w:type="dxa"/>
            <w:tcBorders>
              <w:top w:val="nil"/>
              <w:left w:val="nil"/>
              <w:bottom w:val="single" w:sz="4" w:space="0" w:color="auto"/>
              <w:right w:val="single" w:sz="4" w:space="0" w:color="auto"/>
            </w:tcBorders>
            <w:shd w:val="clear" w:color="000000" w:fill="FFFFFF"/>
            <w:vAlign w:val="center"/>
            <w:hideMark/>
          </w:tcPr>
          <w:p w14:paraId="56AF764A"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Senior Pro Vice-Chancellor – Research and Innovation and Strategic Development, Swansea University</w:t>
            </w:r>
          </w:p>
        </w:tc>
      </w:tr>
      <w:tr w:rsidR="00193209" w:rsidRPr="00FE1D87" w14:paraId="68313F71"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247BFF75"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Ursula Martin</w:t>
            </w:r>
          </w:p>
        </w:tc>
        <w:tc>
          <w:tcPr>
            <w:tcW w:w="6001" w:type="dxa"/>
            <w:tcBorders>
              <w:top w:val="nil"/>
              <w:left w:val="nil"/>
              <w:bottom w:val="single" w:sz="4" w:space="0" w:color="auto"/>
              <w:right w:val="single" w:sz="4" w:space="0" w:color="auto"/>
            </w:tcBorders>
            <w:shd w:val="clear" w:color="000000" w:fill="FFFFFF"/>
            <w:vAlign w:val="center"/>
            <w:hideMark/>
          </w:tcPr>
          <w:p w14:paraId="4403FDED"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of Computer Science, University of Oxford</w:t>
            </w:r>
          </w:p>
        </w:tc>
      </w:tr>
      <w:tr w:rsidR="00193209" w:rsidRPr="00FE1D87" w14:paraId="4C8FCA03"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445BC3CB"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Hugh Mckenna</w:t>
            </w:r>
          </w:p>
        </w:tc>
        <w:tc>
          <w:tcPr>
            <w:tcW w:w="6001" w:type="dxa"/>
            <w:tcBorders>
              <w:top w:val="nil"/>
              <w:left w:val="nil"/>
              <w:bottom w:val="single" w:sz="4" w:space="0" w:color="auto"/>
              <w:right w:val="single" w:sz="4" w:space="0" w:color="auto"/>
            </w:tcBorders>
            <w:shd w:val="clear" w:color="000000" w:fill="FFFFFF"/>
            <w:vAlign w:val="center"/>
            <w:hideMark/>
          </w:tcPr>
          <w:p w14:paraId="0F731240"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Dean of Medical School Development, Ulster University</w:t>
            </w:r>
          </w:p>
        </w:tc>
      </w:tr>
      <w:tr w:rsidR="00193209" w:rsidRPr="00FE1D87" w14:paraId="68DAE63C"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4345A7BC"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Dr Lisa Mooney</w:t>
            </w:r>
          </w:p>
        </w:tc>
        <w:tc>
          <w:tcPr>
            <w:tcW w:w="6001" w:type="dxa"/>
            <w:tcBorders>
              <w:top w:val="nil"/>
              <w:left w:val="nil"/>
              <w:bottom w:val="single" w:sz="4" w:space="0" w:color="auto"/>
              <w:right w:val="single" w:sz="4" w:space="0" w:color="auto"/>
            </w:tcBorders>
            <w:shd w:val="clear" w:color="000000" w:fill="FFFFFF"/>
            <w:vAlign w:val="center"/>
            <w:hideMark/>
          </w:tcPr>
          <w:p w14:paraId="6240BE8C"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 Vice-Chancellor Research and Knowledge Exchange, University of East London</w:t>
            </w:r>
          </w:p>
        </w:tc>
      </w:tr>
      <w:tr w:rsidR="00193209" w:rsidRPr="00FE1D87" w14:paraId="7EC09852"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30BF82C9"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Judith Phillips</w:t>
            </w:r>
          </w:p>
        </w:tc>
        <w:tc>
          <w:tcPr>
            <w:tcW w:w="6001" w:type="dxa"/>
            <w:tcBorders>
              <w:top w:val="nil"/>
              <w:left w:val="nil"/>
              <w:bottom w:val="single" w:sz="4" w:space="0" w:color="auto"/>
              <w:right w:val="single" w:sz="4" w:space="0" w:color="auto"/>
            </w:tcBorders>
            <w:shd w:val="clear" w:color="000000" w:fill="FFFFFF"/>
            <w:vAlign w:val="center"/>
            <w:hideMark/>
          </w:tcPr>
          <w:p w14:paraId="3E091D94"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Deputy Principal (Research), University of Stirling</w:t>
            </w:r>
          </w:p>
        </w:tc>
      </w:tr>
      <w:tr w:rsidR="00193209" w:rsidRPr="00FE1D87" w14:paraId="08614B63"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3DA06EA9"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Barry Smith</w:t>
            </w:r>
          </w:p>
        </w:tc>
        <w:tc>
          <w:tcPr>
            <w:tcW w:w="6001" w:type="dxa"/>
            <w:tcBorders>
              <w:top w:val="nil"/>
              <w:left w:val="nil"/>
              <w:bottom w:val="single" w:sz="4" w:space="0" w:color="auto"/>
              <w:right w:val="single" w:sz="4" w:space="0" w:color="auto"/>
            </w:tcBorders>
            <w:shd w:val="clear" w:color="000000" w:fill="FFFFFF"/>
            <w:vAlign w:val="center"/>
            <w:hideMark/>
          </w:tcPr>
          <w:p w14:paraId="4EC22063"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Director of the Institute of Philosophy, School of Advanced Study</w:t>
            </w:r>
          </w:p>
        </w:tc>
      </w:tr>
      <w:tr w:rsidR="00193209" w:rsidRPr="00FE1D87" w14:paraId="32A03EA9"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1795CB24"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Veronica Strang</w:t>
            </w:r>
          </w:p>
        </w:tc>
        <w:tc>
          <w:tcPr>
            <w:tcW w:w="6001" w:type="dxa"/>
            <w:tcBorders>
              <w:top w:val="nil"/>
              <w:left w:val="nil"/>
              <w:bottom w:val="single" w:sz="4" w:space="0" w:color="auto"/>
              <w:right w:val="single" w:sz="4" w:space="0" w:color="auto"/>
            </w:tcBorders>
            <w:shd w:val="clear" w:color="000000" w:fill="FFFFFF"/>
            <w:vAlign w:val="center"/>
            <w:hideMark/>
          </w:tcPr>
          <w:p w14:paraId="689EE411"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Executive Director of Institute of Advanced Study, Durham University</w:t>
            </w:r>
          </w:p>
        </w:tc>
      </w:tr>
      <w:tr w:rsidR="00193209" w:rsidRPr="00FE1D87" w14:paraId="4E68EA40"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4890B51B"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Dr Sophie von Stumm</w:t>
            </w:r>
          </w:p>
        </w:tc>
        <w:tc>
          <w:tcPr>
            <w:tcW w:w="6001" w:type="dxa"/>
            <w:tcBorders>
              <w:top w:val="nil"/>
              <w:left w:val="nil"/>
              <w:bottom w:val="single" w:sz="4" w:space="0" w:color="auto"/>
              <w:right w:val="single" w:sz="4" w:space="0" w:color="auto"/>
            </w:tcBorders>
            <w:shd w:val="clear" w:color="000000" w:fill="FFFFFF"/>
            <w:vAlign w:val="center"/>
            <w:hideMark/>
          </w:tcPr>
          <w:p w14:paraId="7280B33C" w14:textId="77777777" w:rsidR="00193209" w:rsidRPr="00FE1D87" w:rsidRDefault="00193209" w:rsidP="00193209">
            <w:pPr>
              <w:spacing w:after="0" w:line="300" w:lineRule="atLeast"/>
              <w:rPr>
                <w:rFonts w:ascii="Arial" w:hAnsi="Arial" w:cs="Arial"/>
                <w:color w:val="3A3D3F"/>
              </w:rPr>
            </w:pPr>
            <w:r w:rsidRPr="005B5A01">
              <w:rPr>
                <w:rFonts w:ascii="Arial" w:eastAsia="Times New Roman" w:hAnsi="Arial" w:cs="Arial"/>
                <w:color w:val="000000"/>
              </w:rPr>
              <w:t>Associate Professor in Developmental Psychology, London School of Economics</w:t>
            </w:r>
          </w:p>
        </w:tc>
      </w:tr>
      <w:tr w:rsidR="00193209" w:rsidRPr="00FE1D87" w14:paraId="4C434FFE"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29EF70FE"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Joyce Tait</w:t>
            </w:r>
          </w:p>
        </w:tc>
        <w:tc>
          <w:tcPr>
            <w:tcW w:w="6001" w:type="dxa"/>
            <w:tcBorders>
              <w:top w:val="nil"/>
              <w:left w:val="nil"/>
              <w:bottom w:val="single" w:sz="4" w:space="0" w:color="auto"/>
              <w:right w:val="single" w:sz="4" w:space="0" w:color="auto"/>
            </w:tcBorders>
            <w:shd w:val="clear" w:color="000000" w:fill="FFFFFF"/>
            <w:vAlign w:val="center"/>
            <w:hideMark/>
          </w:tcPr>
          <w:p w14:paraId="61CE8EA6"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Director of the Innogen Institute, University of Edinburgh</w:t>
            </w:r>
          </w:p>
        </w:tc>
      </w:tr>
      <w:tr w:rsidR="00193209" w:rsidRPr="00FE1D87" w14:paraId="2E0113EB" w14:textId="77777777" w:rsidTr="00193209">
        <w:trPr>
          <w:trHeight w:val="300"/>
        </w:trPr>
        <w:tc>
          <w:tcPr>
            <w:tcW w:w="3497" w:type="dxa"/>
            <w:vMerge w:val="restart"/>
            <w:tcBorders>
              <w:top w:val="nil"/>
              <w:left w:val="single" w:sz="4" w:space="0" w:color="auto"/>
              <w:bottom w:val="single" w:sz="4" w:space="0" w:color="auto"/>
              <w:right w:val="single" w:sz="4" w:space="0" w:color="auto"/>
            </w:tcBorders>
            <w:shd w:val="clear" w:color="000000" w:fill="DFE0E1"/>
            <w:vAlign w:val="center"/>
            <w:hideMark/>
          </w:tcPr>
          <w:p w14:paraId="4D60AD5F" w14:textId="77777777" w:rsidR="00193209" w:rsidRPr="00FE1D87" w:rsidRDefault="00193209" w:rsidP="00193209">
            <w:pPr>
              <w:spacing w:after="0" w:line="300" w:lineRule="atLeast"/>
              <w:jc w:val="center"/>
              <w:rPr>
                <w:rFonts w:ascii="Arial" w:eastAsia="Times New Roman" w:hAnsi="Arial" w:cs="Arial"/>
                <w:b/>
                <w:bCs/>
                <w:color w:val="4D738A"/>
              </w:rPr>
            </w:pPr>
            <w:r w:rsidRPr="00FE1D87">
              <w:rPr>
                <w:rFonts w:ascii="Arial" w:eastAsia="Times New Roman" w:hAnsi="Arial" w:cs="Arial"/>
                <w:b/>
                <w:bCs/>
                <w:color w:val="4D738A"/>
              </w:rPr>
              <w:t>Observers</w:t>
            </w:r>
          </w:p>
        </w:tc>
        <w:tc>
          <w:tcPr>
            <w:tcW w:w="6001" w:type="dxa"/>
            <w:vMerge w:val="restart"/>
            <w:tcBorders>
              <w:top w:val="nil"/>
              <w:left w:val="single" w:sz="4" w:space="0" w:color="auto"/>
              <w:bottom w:val="single" w:sz="4" w:space="0" w:color="auto"/>
              <w:right w:val="single" w:sz="4" w:space="0" w:color="auto"/>
            </w:tcBorders>
            <w:shd w:val="clear" w:color="000000" w:fill="DFE0E1"/>
            <w:vAlign w:val="center"/>
            <w:hideMark/>
          </w:tcPr>
          <w:p w14:paraId="10E7F725" w14:textId="77777777" w:rsidR="00193209" w:rsidRPr="00FE1D87" w:rsidRDefault="00193209" w:rsidP="00193209">
            <w:pPr>
              <w:spacing w:after="0" w:line="300" w:lineRule="atLeast"/>
              <w:jc w:val="center"/>
              <w:rPr>
                <w:rFonts w:ascii="Arial" w:eastAsia="Times New Roman" w:hAnsi="Arial" w:cs="Arial"/>
                <w:b/>
                <w:bCs/>
                <w:color w:val="4D738A"/>
              </w:rPr>
            </w:pPr>
            <w:r w:rsidRPr="00FE1D87">
              <w:rPr>
                <w:rFonts w:ascii="Arial" w:eastAsia="Times New Roman" w:hAnsi="Arial" w:cs="Arial"/>
                <w:b/>
                <w:bCs/>
                <w:color w:val="4D738A"/>
              </w:rPr>
              <w:t>Role</w:t>
            </w:r>
          </w:p>
        </w:tc>
      </w:tr>
      <w:tr w:rsidR="00193209" w:rsidRPr="00FE1D87" w14:paraId="78936B8C" w14:textId="77777777" w:rsidTr="00193209">
        <w:trPr>
          <w:trHeight w:val="508"/>
        </w:trPr>
        <w:tc>
          <w:tcPr>
            <w:tcW w:w="3497" w:type="dxa"/>
            <w:vMerge/>
            <w:tcBorders>
              <w:top w:val="nil"/>
              <w:left w:val="single" w:sz="4" w:space="0" w:color="auto"/>
              <w:bottom w:val="single" w:sz="4" w:space="0" w:color="auto"/>
              <w:right w:val="single" w:sz="4" w:space="0" w:color="auto"/>
            </w:tcBorders>
            <w:vAlign w:val="center"/>
            <w:hideMark/>
          </w:tcPr>
          <w:p w14:paraId="7A65F12A" w14:textId="77777777" w:rsidR="00193209" w:rsidRPr="00FE1D87" w:rsidRDefault="00193209" w:rsidP="00193209">
            <w:pPr>
              <w:spacing w:after="0" w:line="300" w:lineRule="atLeast"/>
              <w:rPr>
                <w:rFonts w:ascii="Arial" w:eastAsia="Times New Roman" w:hAnsi="Arial" w:cs="Arial"/>
                <w:b/>
                <w:bCs/>
                <w:color w:val="4D738A"/>
              </w:rPr>
            </w:pPr>
          </w:p>
        </w:tc>
        <w:tc>
          <w:tcPr>
            <w:tcW w:w="6001" w:type="dxa"/>
            <w:vMerge/>
            <w:tcBorders>
              <w:top w:val="nil"/>
              <w:left w:val="single" w:sz="4" w:space="0" w:color="auto"/>
              <w:bottom w:val="single" w:sz="4" w:space="0" w:color="auto"/>
              <w:right w:val="single" w:sz="4" w:space="0" w:color="auto"/>
            </w:tcBorders>
            <w:vAlign w:val="center"/>
            <w:hideMark/>
          </w:tcPr>
          <w:p w14:paraId="33E1CD72" w14:textId="77777777" w:rsidR="00193209" w:rsidRPr="00FE1D87" w:rsidRDefault="00193209" w:rsidP="00193209">
            <w:pPr>
              <w:spacing w:after="0" w:line="300" w:lineRule="atLeast"/>
              <w:rPr>
                <w:rFonts w:ascii="Arial" w:eastAsia="Times New Roman" w:hAnsi="Arial" w:cs="Arial"/>
                <w:b/>
                <w:bCs/>
                <w:color w:val="4D738A"/>
              </w:rPr>
            </w:pPr>
          </w:p>
        </w:tc>
      </w:tr>
      <w:tr w:rsidR="00193209" w:rsidRPr="00FE1D87" w14:paraId="65379588"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4A91D198"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Professor Andrew Thompson</w:t>
            </w:r>
          </w:p>
        </w:tc>
        <w:tc>
          <w:tcPr>
            <w:tcW w:w="6001" w:type="dxa"/>
            <w:tcBorders>
              <w:top w:val="nil"/>
              <w:left w:val="nil"/>
              <w:bottom w:val="single" w:sz="4" w:space="0" w:color="auto"/>
              <w:right w:val="single" w:sz="4" w:space="0" w:color="auto"/>
            </w:tcBorders>
            <w:shd w:val="clear" w:color="000000" w:fill="FFFFFF"/>
            <w:vAlign w:val="center"/>
            <w:hideMark/>
          </w:tcPr>
          <w:p w14:paraId="5722983F" w14:textId="77777777"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AHRC/UKRI</w:t>
            </w:r>
          </w:p>
        </w:tc>
      </w:tr>
      <w:tr w:rsidR="00193209" w:rsidRPr="00FE1D87" w14:paraId="6184BC20" w14:textId="77777777" w:rsidTr="00193209">
        <w:trPr>
          <w:trHeight w:val="454"/>
        </w:trPr>
        <w:tc>
          <w:tcPr>
            <w:tcW w:w="3497" w:type="dxa"/>
            <w:tcBorders>
              <w:top w:val="nil"/>
              <w:left w:val="single" w:sz="4" w:space="0" w:color="auto"/>
              <w:bottom w:val="single" w:sz="4" w:space="0" w:color="auto"/>
              <w:right w:val="single" w:sz="4" w:space="0" w:color="auto"/>
            </w:tcBorders>
            <w:shd w:val="clear" w:color="000000" w:fill="FFFFFF"/>
            <w:vAlign w:val="center"/>
            <w:hideMark/>
          </w:tcPr>
          <w:p w14:paraId="20706AC9" w14:textId="08EB64E3" w:rsidR="00193209" w:rsidRPr="00FE1D87" w:rsidRDefault="00193209" w:rsidP="00193209">
            <w:pPr>
              <w:spacing w:after="0" w:line="300" w:lineRule="atLeast"/>
              <w:rPr>
                <w:rFonts w:ascii="Arial" w:eastAsia="Times New Roman" w:hAnsi="Arial" w:cs="Arial"/>
                <w:color w:val="000000"/>
              </w:rPr>
            </w:pPr>
            <w:r w:rsidRPr="005B5A01">
              <w:rPr>
                <w:rFonts w:ascii="Arial" w:eastAsia="Times New Roman" w:hAnsi="Arial" w:cs="Arial"/>
                <w:color w:val="000000"/>
              </w:rPr>
              <w:t>Professor Rog</w:t>
            </w:r>
            <w:r w:rsidRPr="00FE1D87">
              <w:rPr>
                <w:rFonts w:ascii="Arial" w:eastAsia="Times New Roman" w:hAnsi="Arial" w:cs="Arial"/>
                <w:color w:val="000000"/>
              </w:rPr>
              <w:t>er Kain</w:t>
            </w:r>
          </w:p>
        </w:tc>
        <w:tc>
          <w:tcPr>
            <w:tcW w:w="6001" w:type="dxa"/>
            <w:tcBorders>
              <w:top w:val="nil"/>
              <w:left w:val="nil"/>
              <w:bottom w:val="single" w:sz="4" w:space="0" w:color="auto"/>
              <w:right w:val="single" w:sz="4" w:space="0" w:color="auto"/>
            </w:tcBorders>
            <w:shd w:val="clear" w:color="000000" w:fill="FFFFFF"/>
            <w:vAlign w:val="center"/>
            <w:hideMark/>
          </w:tcPr>
          <w:p w14:paraId="13BD5579" w14:textId="7732A2E9" w:rsidR="00193209" w:rsidRPr="00FE1D87" w:rsidRDefault="00193209" w:rsidP="00193209">
            <w:pPr>
              <w:spacing w:after="0" w:line="300" w:lineRule="atLeast"/>
              <w:rPr>
                <w:rFonts w:ascii="Arial" w:eastAsia="Times New Roman" w:hAnsi="Arial" w:cs="Arial"/>
                <w:color w:val="000000"/>
              </w:rPr>
            </w:pPr>
            <w:r w:rsidRPr="00FE1D87">
              <w:rPr>
                <w:rFonts w:ascii="Arial" w:eastAsia="Times New Roman" w:hAnsi="Arial" w:cs="Arial"/>
                <w:color w:val="000000"/>
              </w:rPr>
              <w:t>British Academy</w:t>
            </w:r>
          </w:p>
        </w:tc>
      </w:tr>
    </w:tbl>
    <w:p w14:paraId="29773D4C" w14:textId="541C177B" w:rsidR="005B5A01" w:rsidRPr="008A4C66" w:rsidRDefault="005B5A01" w:rsidP="008A4C66">
      <w:pPr>
        <w:pStyle w:val="NormalWeb"/>
        <w:spacing w:before="0" w:beforeAutospacing="0" w:after="0" w:afterAutospacing="0" w:line="300" w:lineRule="atLeast"/>
        <w:outlineLvl w:val="0"/>
        <w:rPr>
          <w:rFonts w:ascii="Arial" w:hAnsi="Arial" w:cs="Arial"/>
          <w:b/>
          <w:sz w:val="28"/>
          <w:szCs w:val="28"/>
        </w:rPr>
      </w:pPr>
      <w:bookmarkStart w:id="32" w:name="_Toc3200593"/>
      <w:r w:rsidRPr="008A4C66">
        <w:rPr>
          <w:rFonts w:ascii="Arial" w:hAnsi="Arial" w:cs="Arial"/>
          <w:b/>
          <w:sz w:val="28"/>
          <w:szCs w:val="28"/>
        </w:rPr>
        <w:t xml:space="preserve">Annex C: Published definitions of </w:t>
      </w:r>
      <w:r w:rsidR="007E3E88" w:rsidRPr="008A4C66">
        <w:rPr>
          <w:rFonts w:ascii="Arial" w:hAnsi="Arial" w:cs="Arial"/>
          <w:b/>
          <w:sz w:val="28"/>
          <w:szCs w:val="28"/>
        </w:rPr>
        <w:t>interdisciplinary</w:t>
      </w:r>
      <w:r w:rsidRPr="008A4C66">
        <w:rPr>
          <w:rFonts w:ascii="Arial" w:hAnsi="Arial" w:cs="Arial"/>
          <w:b/>
          <w:sz w:val="28"/>
          <w:szCs w:val="28"/>
        </w:rPr>
        <w:t xml:space="preserve"> research</w:t>
      </w:r>
      <w:bookmarkEnd w:id="32"/>
      <w:r w:rsidRPr="008A4C66">
        <w:rPr>
          <w:rFonts w:ascii="Arial" w:hAnsi="Arial" w:cs="Arial"/>
          <w:b/>
          <w:sz w:val="28"/>
          <w:szCs w:val="28"/>
        </w:rPr>
        <w:t xml:space="preserve"> </w:t>
      </w:r>
    </w:p>
    <w:p w14:paraId="54BDB2F5" w14:textId="77777777" w:rsidR="007E3E88" w:rsidRPr="00E000CD" w:rsidRDefault="007E3E88" w:rsidP="007B29A2">
      <w:pPr>
        <w:pStyle w:val="NormalWeb"/>
        <w:spacing w:before="0" w:beforeAutospacing="0" w:after="0" w:afterAutospacing="0" w:line="300" w:lineRule="atLeast"/>
        <w:rPr>
          <w:rFonts w:ascii="Arial" w:hAnsi="Arial" w:cs="Arial"/>
          <w:b/>
          <w:sz w:val="22"/>
          <w:szCs w:val="22"/>
        </w:rPr>
      </w:pPr>
    </w:p>
    <w:p w14:paraId="5E7758E3" w14:textId="77777777" w:rsidR="005B5A01" w:rsidRDefault="005B5A01" w:rsidP="007B29A2">
      <w:pPr>
        <w:pStyle w:val="NormalWeb"/>
        <w:spacing w:before="0" w:beforeAutospacing="0" w:after="0" w:afterAutospacing="0" w:line="300" w:lineRule="atLeast"/>
        <w:rPr>
          <w:rFonts w:ascii="Arial" w:hAnsi="Arial" w:cs="Arial"/>
          <w:sz w:val="21"/>
          <w:szCs w:val="21"/>
        </w:rPr>
      </w:pPr>
      <w:r w:rsidRPr="000C4CE4">
        <w:rPr>
          <w:rFonts w:ascii="Arial" w:hAnsi="Arial" w:cs="Arial"/>
          <w:sz w:val="21"/>
          <w:szCs w:val="21"/>
        </w:rPr>
        <w:t xml:space="preserve">Below are some examples of the different definitions of types of research which cross disciplinary boundaries. The table below is not exhaustive and is provided to support discussion by the group, it is not intended to be definitive. </w:t>
      </w:r>
    </w:p>
    <w:p w14:paraId="0C8742B7" w14:textId="77777777" w:rsidR="007E3E88" w:rsidRPr="000C4CE4" w:rsidRDefault="007E3E88" w:rsidP="007B29A2">
      <w:pPr>
        <w:pStyle w:val="NormalWeb"/>
        <w:spacing w:before="0" w:beforeAutospacing="0" w:after="0" w:afterAutospacing="0" w:line="300" w:lineRule="atLeast"/>
        <w:rPr>
          <w:rFonts w:ascii="Arial" w:hAnsi="Arial" w:cs="Arial"/>
          <w:sz w:val="21"/>
          <w:szCs w:val="21"/>
        </w:rPr>
      </w:pPr>
    </w:p>
    <w:p w14:paraId="2399D2DC" w14:textId="77777777" w:rsidR="005B5A01" w:rsidRPr="000C4CE4" w:rsidRDefault="005B5A01" w:rsidP="007B29A2">
      <w:pPr>
        <w:pStyle w:val="NormalWeb"/>
        <w:spacing w:before="0" w:beforeAutospacing="0" w:after="0" w:afterAutospacing="0" w:line="300" w:lineRule="atLeast"/>
        <w:rPr>
          <w:rFonts w:ascii="Arial" w:hAnsi="Arial" w:cs="Arial"/>
          <w:sz w:val="21"/>
          <w:szCs w:val="21"/>
        </w:rPr>
      </w:pPr>
      <w:r w:rsidRPr="000C4CE4">
        <w:rPr>
          <w:rFonts w:ascii="Arial" w:hAnsi="Arial" w:cs="Arial"/>
          <w:sz w:val="21"/>
          <w:szCs w:val="21"/>
        </w:rPr>
        <w:t xml:space="preserve">Table </w:t>
      </w:r>
      <w:r w:rsidRPr="000C4CE4">
        <w:rPr>
          <w:rFonts w:ascii="Arial" w:hAnsi="Arial" w:cs="Arial"/>
          <w:sz w:val="21"/>
          <w:szCs w:val="21"/>
        </w:rPr>
        <w:fldChar w:fldCharType="begin"/>
      </w:r>
      <w:r w:rsidRPr="000C4CE4">
        <w:rPr>
          <w:rFonts w:ascii="Arial" w:hAnsi="Arial" w:cs="Arial"/>
          <w:sz w:val="21"/>
          <w:szCs w:val="21"/>
        </w:rPr>
        <w:instrText xml:space="preserve"> SEQ Table \* ARABIC </w:instrText>
      </w:r>
      <w:r w:rsidRPr="000C4CE4">
        <w:rPr>
          <w:rFonts w:ascii="Arial" w:hAnsi="Arial" w:cs="Arial"/>
          <w:sz w:val="21"/>
          <w:szCs w:val="21"/>
        </w:rPr>
        <w:fldChar w:fldCharType="separate"/>
      </w:r>
      <w:r w:rsidRPr="000C4CE4">
        <w:rPr>
          <w:rFonts w:ascii="Arial" w:hAnsi="Arial" w:cs="Arial"/>
          <w:noProof/>
          <w:sz w:val="21"/>
          <w:szCs w:val="21"/>
        </w:rPr>
        <w:t>1</w:t>
      </w:r>
      <w:r w:rsidRPr="000C4CE4">
        <w:rPr>
          <w:rFonts w:ascii="Arial" w:hAnsi="Arial" w:cs="Arial"/>
          <w:sz w:val="21"/>
          <w:szCs w:val="21"/>
        </w:rPr>
        <w:fldChar w:fldCharType="end"/>
      </w:r>
      <w:r w:rsidRPr="000C4CE4">
        <w:rPr>
          <w:rFonts w:ascii="Arial" w:hAnsi="Arial" w:cs="Arial"/>
          <w:b/>
          <w:sz w:val="21"/>
          <w:szCs w:val="21"/>
        </w:rPr>
        <w:t xml:space="preserve"> </w:t>
      </w:r>
      <w:r w:rsidRPr="000C4CE4">
        <w:rPr>
          <w:rFonts w:ascii="Arial" w:hAnsi="Arial" w:cs="Arial"/>
          <w:sz w:val="21"/>
          <w:szCs w:val="21"/>
        </w:rPr>
        <w:t>IDR and adopted definitions of multidisciplinary, interdisciplinary, transdisciplinary, and crossdisciplinary research</w:t>
      </w:r>
      <w:r w:rsidRPr="000C4CE4">
        <w:rPr>
          <w:rStyle w:val="FootnoteReference"/>
          <w:rFonts w:ascii="Arial" w:hAnsi="Arial" w:cs="Arial"/>
          <w:sz w:val="21"/>
          <w:szCs w:val="21"/>
        </w:rPr>
        <w:footnoteReference w:id="16"/>
      </w:r>
    </w:p>
    <w:p w14:paraId="5F3B05F5" w14:textId="77777777" w:rsidR="005B5A01" w:rsidRPr="000C4CE4" w:rsidRDefault="005B5A01" w:rsidP="007B29A2">
      <w:pPr>
        <w:pStyle w:val="BodyText"/>
        <w:spacing w:after="0" w:line="300" w:lineRule="atLeast"/>
        <w:jc w:val="left"/>
        <w:rPr>
          <w:rFonts w:cs="Arial"/>
          <w:i/>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043"/>
      </w:tblGrid>
      <w:tr w:rsidR="005B5A01" w:rsidRPr="000C4CE4" w14:paraId="25FEF38E" w14:textId="77777777" w:rsidTr="00A4013D">
        <w:tc>
          <w:tcPr>
            <w:tcW w:w="2977" w:type="dxa"/>
            <w:tcBorders>
              <w:top w:val="single" w:sz="4" w:space="0" w:color="auto"/>
              <w:bottom w:val="single" w:sz="4" w:space="0" w:color="auto"/>
            </w:tcBorders>
          </w:tcPr>
          <w:p w14:paraId="76605F24" w14:textId="77777777" w:rsidR="005B5A01" w:rsidRPr="000C4CE4" w:rsidRDefault="005B5A01" w:rsidP="007B29A2">
            <w:pPr>
              <w:pStyle w:val="BodyText"/>
              <w:spacing w:after="0"/>
              <w:jc w:val="left"/>
              <w:rPr>
                <w:rFonts w:cs="Arial"/>
                <w:b/>
                <w:sz w:val="21"/>
                <w:szCs w:val="21"/>
              </w:rPr>
            </w:pPr>
            <w:r w:rsidRPr="000C4CE4">
              <w:rPr>
                <w:rFonts w:cs="Arial"/>
                <w:b/>
                <w:sz w:val="21"/>
                <w:szCs w:val="21"/>
              </w:rPr>
              <w:t>IDR</w:t>
            </w:r>
          </w:p>
        </w:tc>
        <w:tc>
          <w:tcPr>
            <w:tcW w:w="6043" w:type="dxa"/>
            <w:tcBorders>
              <w:top w:val="single" w:sz="4" w:space="0" w:color="auto"/>
              <w:bottom w:val="single" w:sz="4" w:space="0" w:color="auto"/>
            </w:tcBorders>
          </w:tcPr>
          <w:p w14:paraId="6A2EF1CB" w14:textId="77777777" w:rsidR="005B5A01" w:rsidRPr="000C4CE4" w:rsidRDefault="005B5A01" w:rsidP="007B29A2">
            <w:pPr>
              <w:pStyle w:val="BodyText"/>
              <w:spacing w:after="0"/>
              <w:jc w:val="left"/>
              <w:rPr>
                <w:rFonts w:cs="Arial"/>
                <w:b/>
                <w:sz w:val="21"/>
                <w:szCs w:val="21"/>
              </w:rPr>
            </w:pPr>
            <w:r w:rsidRPr="000C4CE4">
              <w:rPr>
                <w:rFonts w:cs="Arial"/>
                <w:b/>
                <w:sz w:val="21"/>
                <w:szCs w:val="21"/>
              </w:rPr>
              <w:t>Definition</w:t>
            </w:r>
          </w:p>
        </w:tc>
      </w:tr>
      <w:tr w:rsidR="005B5A01" w:rsidRPr="000C4CE4" w14:paraId="6D7861BF" w14:textId="77777777" w:rsidTr="00A4013D">
        <w:tc>
          <w:tcPr>
            <w:tcW w:w="2977" w:type="dxa"/>
            <w:tcBorders>
              <w:top w:val="single" w:sz="4" w:space="0" w:color="auto"/>
              <w:bottom w:val="nil"/>
            </w:tcBorders>
          </w:tcPr>
          <w:p w14:paraId="40D25D43" w14:textId="77777777" w:rsidR="005B5A01" w:rsidRPr="000C4CE4" w:rsidRDefault="005B5A01" w:rsidP="007B29A2">
            <w:pPr>
              <w:pStyle w:val="BodyText"/>
              <w:spacing w:after="0"/>
              <w:jc w:val="left"/>
              <w:rPr>
                <w:rFonts w:cs="Arial"/>
                <w:sz w:val="21"/>
                <w:szCs w:val="21"/>
              </w:rPr>
            </w:pPr>
          </w:p>
        </w:tc>
        <w:tc>
          <w:tcPr>
            <w:tcW w:w="6043" w:type="dxa"/>
            <w:tcBorders>
              <w:top w:val="single" w:sz="4" w:space="0" w:color="auto"/>
              <w:bottom w:val="nil"/>
            </w:tcBorders>
          </w:tcPr>
          <w:p w14:paraId="6150A28A" w14:textId="77777777" w:rsidR="005B5A01" w:rsidRPr="000C4CE4" w:rsidRDefault="005B5A01" w:rsidP="007B29A2">
            <w:pPr>
              <w:pStyle w:val="BodyText"/>
              <w:spacing w:after="0"/>
              <w:jc w:val="left"/>
              <w:rPr>
                <w:rFonts w:cs="Arial"/>
                <w:sz w:val="21"/>
                <w:szCs w:val="21"/>
              </w:rPr>
            </w:pPr>
          </w:p>
        </w:tc>
      </w:tr>
      <w:tr w:rsidR="005B5A01" w:rsidRPr="000C4CE4" w14:paraId="5D0B5DC4" w14:textId="77777777" w:rsidTr="00A4013D">
        <w:tc>
          <w:tcPr>
            <w:tcW w:w="2977" w:type="dxa"/>
            <w:tcBorders>
              <w:top w:val="nil"/>
            </w:tcBorders>
          </w:tcPr>
          <w:p w14:paraId="3E4ABF84" w14:textId="77777777" w:rsidR="005B5A01" w:rsidRPr="000C4CE4" w:rsidRDefault="005B5A01" w:rsidP="007B29A2">
            <w:pPr>
              <w:pStyle w:val="BodyText"/>
              <w:spacing w:after="0"/>
              <w:jc w:val="left"/>
              <w:rPr>
                <w:rFonts w:cs="Arial"/>
                <w:sz w:val="21"/>
                <w:szCs w:val="21"/>
              </w:rPr>
            </w:pPr>
            <w:r w:rsidRPr="000C4CE4">
              <w:rPr>
                <w:rFonts w:cs="Arial"/>
                <w:sz w:val="21"/>
                <w:szCs w:val="21"/>
              </w:rPr>
              <w:t>Multidisciplinary</w:t>
            </w:r>
          </w:p>
        </w:tc>
        <w:tc>
          <w:tcPr>
            <w:tcW w:w="6043" w:type="dxa"/>
            <w:tcBorders>
              <w:top w:val="nil"/>
            </w:tcBorders>
          </w:tcPr>
          <w:p w14:paraId="54A210C8" w14:textId="77777777" w:rsidR="005B5A01" w:rsidRPr="000C4CE4" w:rsidRDefault="005B5A01" w:rsidP="007B29A2">
            <w:pPr>
              <w:pStyle w:val="BodyText"/>
              <w:spacing w:after="0"/>
              <w:jc w:val="left"/>
              <w:rPr>
                <w:rFonts w:cs="Arial"/>
                <w:sz w:val="21"/>
                <w:szCs w:val="21"/>
              </w:rPr>
            </w:pPr>
            <w:r w:rsidRPr="000C4CE4">
              <w:rPr>
                <w:rFonts w:cs="Arial"/>
                <w:sz w:val="21"/>
                <w:szCs w:val="21"/>
              </w:rPr>
              <w:t>“Theory, methods, and interpretive standards of the different disciplines are employed. Interpretation of the results from different disciplines typically occurs post hoc, often from the perspective of one discipline that may emerge as dominant within the project.”</w:t>
            </w:r>
          </w:p>
          <w:p w14:paraId="686A9CB9" w14:textId="77777777" w:rsidR="005B5A01" w:rsidRPr="000C4CE4" w:rsidRDefault="005B5A01" w:rsidP="007B29A2">
            <w:pPr>
              <w:pStyle w:val="BodyText"/>
              <w:spacing w:after="0"/>
              <w:jc w:val="left"/>
              <w:rPr>
                <w:rFonts w:cs="Arial"/>
                <w:sz w:val="21"/>
                <w:szCs w:val="21"/>
              </w:rPr>
            </w:pPr>
            <w:r w:rsidRPr="000C4CE4">
              <w:rPr>
                <w:rFonts w:cs="Arial"/>
              </w:rPr>
              <w:fldChar w:fldCharType="begin" w:fldLock="1"/>
            </w:r>
            <w:r w:rsidRPr="000C4CE4">
              <w:rPr>
                <w:rFonts w:cs="Arial"/>
                <w:sz w:val="21"/>
                <w:szCs w:val="21"/>
              </w:rPr>
              <w:instrText>ADDIN CSL_CITATION { "citationItems" : [ { "id" : "ITEM-1", "itemData" : { "DOI" : "10.1016/0048-7333(79)90030-1", "ISBN" : "0048-7333", "ISSN" : "00487333", "abstract" : "Interdisciplinary research can be defined by the presence of substantive, internalized linkages among component analyses. Three levels of integration of component analyses are defined. The weakest is associated with multidisciplinary research in which components stand on their own. Integration here involves editorial organization, consistent terminology, and concordant concepts. The strongest level involves a shared, over-arching theoretical framework which welds components into a unit. Most interdisciplinary research can realistically aspire only to an intermediate level of integration wherein disciplinary components serve as substantive inputs to each other. Attainment of well-integrated interdisciplinary research is a complex task. This study identifies four frameworks useful in integration based on a probe of 24 technology assessments. Common group learning generates a common intellectual property belonging to the research group. It yields well-integrated research, but often at the cost of a loss of depth of analysis. Formal modeling can structure interrelationships, and, thereby, serve as an integrating framework. Modeling is most applicable to well-specified problems, but it can contribute, in conjunction with other frameworks, to broader, policy-oriented studies as well. Negotiation among experts takes place at the common boundaries between component analyses as these substantively affect each other's findings. It preserves the full depth of expertise and can be used in broad-ranging studies. Integration by the project leader establishes one person as the sole repository of composite knowledge, obtained through one-to-one interactions with assorted experts. It is not well-suited to interdisciplinary research, except in small-scale studies. ?? 1979.", "author" : [ { "dropping-particle" : "", "family" : "Rossini", "given" : "Frederick A.", "non-dropping-particle" : "", "parse-names" : false, "suffix" : "" }, { "dropping-particle" : "", "family" : "Porter", "given" : "Alan L.", "non-dropping-particle" : "", "parse-names" : false, "suffix" : "" } ], "container-title" : "Research Policy", "id" : "ITEM-1", "issue" : "1", "issued" : { "date-parts" : [ [ "1979" ] ] }, "page" : "70-79", "title" : "Frameworks for integrating interdisciplinary research", "type" : "article-journal", "volume" : "8" }, "uris" : [ "http://www.mendeley.com/documents/?uuid=619c7fbb-e2ed-4fbe-b3c2-6b89fac6b9e6" ] } ], "mendeley" : { "formattedCitation" : "(Rossini &amp; Porter, 1979)", "plainTextFormattedCitation" : "(Rossini &amp; Porter, 1979)", "previouslyFormattedCitation" : "(Rossini &amp; Porter, 1979)" }, "properties" : { "noteIndex" : 0 }, "schema" : "https://github.com/citation-style-language/schema/raw/master/csl-citation.json" }</w:instrText>
            </w:r>
            <w:r w:rsidRPr="000C4CE4">
              <w:rPr>
                <w:rFonts w:cs="Arial"/>
              </w:rPr>
              <w:fldChar w:fldCharType="separate"/>
            </w:r>
            <w:r w:rsidRPr="000C4CE4">
              <w:rPr>
                <w:rFonts w:cs="Arial"/>
                <w:sz w:val="21"/>
                <w:szCs w:val="21"/>
              </w:rPr>
              <w:t>(Rossini &amp; Porter, 1979)</w:t>
            </w:r>
            <w:r w:rsidRPr="000C4CE4">
              <w:rPr>
                <w:rFonts w:cs="Arial"/>
              </w:rPr>
              <w:fldChar w:fldCharType="end"/>
            </w:r>
          </w:p>
        </w:tc>
      </w:tr>
      <w:tr w:rsidR="005B5A01" w:rsidRPr="000C4CE4" w14:paraId="3FC349F8" w14:textId="77777777" w:rsidTr="00A4013D">
        <w:tc>
          <w:tcPr>
            <w:tcW w:w="2977" w:type="dxa"/>
            <w:tcBorders>
              <w:top w:val="nil"/>
            </w:tcBorders>
          </w:tcPr>
          <w:p w14:paraId="18190C03" w14:textId="77777777" w:rsidR="005B5A01" w:rsidRPr="000C4CE4" w:rsidRDefault="005B5A01" w:rsidP="007B29A2">
            <w:pPr>
              <w:pStyle w:val="BodyText"/>
              <w:spacing w:after="0"/>
              <w:jc w:val="left"/>
              <w:rPr>
                <w:rFonts w:cs="Arial"/>
                <w:sz w:val="21"/>
                <w:szCs w:val="21"/>
              </w:rPr>
            </w:pPr>
          </w:p>
        </w:tc>
        <w:tc>
          <w:tcPr>
            <w:tcW w:w="6043" w:type="dxa"/>
            <w:tcBorders>
              <w:top w:val="nil"/>
            </w:tcBorders>
          </w:tcPr>
          <w:p w14:paraId="13EE8078" w14:textId="77777777" w:rsidR="005B5A01" w:rsidRPr="000C4CE4" w:rsidRDefault="005B5A01" w:rsidP="007B29A2">
            <w:pPr>
              <w:pStyle w:val="BodyText"/>
              <w:spacing w:after="0"/>
              <w:jc w:val="left"/>
              <w:rPr>
                <w:rFonts w:cs="Arial"/>
                <w:sz w:val="21"/>
                <w:szCs w:val="21"/>
              </w:rPr>
            </w:pPr>
          </w:p>
        </w:tc>
      </w:tr>
      <w:tr w:rsidR="005B5A01" w:rsidRPr="000C4CE4" w14:paraId="1D6BFFDD" w14:textId="77777777" w:rsidTr="00A4013D">
        <w:trPr>
          <w:trHeight w:val="1569"/>
        </w:trPr>
        <w:tc>
          <w:tcPr>
            <w:tcW w:w="2977" w:type="dxa"/>
          </w:tcPr>
          <w:p w14:paraId="41F988C8" w14:textId="77777777" w:rsidR="005B5A01" w:rsidRPr="000C4CE4" w:rsidRDefault="005B5A01" w:rsidP="007B29A2">
            <w:pPr>
              <w:pStyle w:val="BodyText"/>
              <w:spacing w:after="0"/>
              <w:jc w:val="left"/>
              <w:rPr>
                <w:rFonts w:cs="Arial"/>
                <w:sz w:val="21"/>
                <w:szCs w:val="21"/>
              </w:rPr>
            </w:pPr>
            <w:r w:rsidRPr="000C4CE4">
              <w:rPr>
                <w:rFonts w:cs="Arial"/>
                <w:sz w:val="21"/>
                <w:szCs w:val="21"/>
              </w:rPr>
              <w:t>Interdisciplinary</w:t>
            </w:r>
          </w:p>
        </w:tc>
        <w:tc>
          <w:tcPr>
            <w:tcW w:w="6043" w:type="dxa"/>
          </w:tcPr>
          <w:p w14:paraId="1D014AC2" w14:textId="77777777" w:rsidR="005B5A01" w:rsidRPr="000C4CE4" w:rsidRDefault="005B5A01" w:rsidP="007B29A2">
            <w:pPr>
              <w:pStyle w:val="BodyText"/>
              <w:spacing w:after="0"/>
              <w:jc w:val="left"/>
              <w:rPr>
                <w:rFonts w:cs="Arial"/>
                <w:sz w:val="21"/>
                <w:szCs w:val="21"/>
                <w:lang w:val="en-US"/>
              </w:rPr>
            </w:pPr>
            <w:r w:rsidRPr="000C4CE4">
              <w:rPr>
                <w:rFonts w:cs="Arial"/>
                <w:sz w:val="21"/>
                <w:szCs w:val="21"/>
                <w:lang w:val="en-US"/>
              </w:rPr>
              <w:t>“Approaches integrate separate disciplinary data, methods, tools, concepts, and theories in order to create a holistic view or common understanding of a complex issue, question, or problem”</w:t>
            </w:r>
          </w:p>
          <w:p w14:paraId="559DAFBE" w14:textId="77777777" w:rsidR="005B5A01" w:rsidRPr="000C4CE4" w:rsidRDefault="005B5A01" w:rsidP="007B29A2">
            <w:pPr>
              <w:pStyle w:val="BodyText"/>
              <w:spacing w:after="0"/>
              <w:jc w:val="left"/>
              <w:rPr>
                <w:rFonts w:cs="Arial"/>
                <w:sz w:val="21"/>
                <w:szCs w:val="21"/>
              </w:rPr>
            </w:pPr>
            <w:r w:rsidRPr="000C4CE4">
              <w:rPr>
                <w:rFonts w:cs="Arial"/>
              </w:rPr>
              <w:fldChar w:fldCharType="begin" w:fldLock="1"/>
            </w:r>
            <w:r w:rsidRPr="000C4CE4">
              <w:rPr>
                <w:rFonts w:cs="Arial"/>
                <w:sz w:val="21"/>
                <w:szCs w:val="21"/>
                <w:lang w:val="en-US"/>
              </w:rPr>
              <w:instrText>ADDIN CSL_CITATION { "citationItems" : [ { "id" : "ITEM-1", "itemData" : { "author" : [ { "dropping-particle" : "", "family" : "Wagner", "given" : "C.S.", "non-dropping-particle" : "", "parse-names" : false, "suffix" : "" }, { "dropping-particle" : "", "family" : "Roessner", "given" : "J.D.", "non-dropping-particle" : "", "parse-names" : false, "suffix" : "" }, { "dropping-particle" : "", "family" : "Bobb", "given" : "K.", "non-dropping-particle" : "", "parse-names" : false, "suffix" : "" }, { "dropping-particle" : "", "family" : "Klein", "given" : "J.T.", "non-dropping-particle" : "", "parse-names" : false, "suffix" : "" }, { "dropping-particle" : "", "family" : "Boyack", "given" : "K.W.", "non-dropping-particle" : "", "parse-names" : false, "suffix" : "" }, { "dropping-particle" : "", "family" : "Keyton", "given" : "J.", "non-dropping-particle" : "", "parse-names" : false, "suffix" : "" }, { "dropping-particle" : "", "family" : "Rafols", "given" : "I.", "non-dropping-particle" : "", "parse-names" : false, "suffix" : "" }, { "dropping-particle" : "", "family" : "B\u00f6rner", "given" : "K.", "non-dropping-particle" : "", "parse-names" : false, "suffix" : "" } ], "container-title" : "Journal of Informetrics", "id" : "ITEM-1", "issue" : "1", "issued" : { "date-parts" : [ [ "2011" ] ] }, "page" : "14-26", "title" : "Approaches to understanding and measuring interdisciplinary scientific research (IDR): A review of the literature", "type" : "article-journal", "volume" : "5" }, "locator" : "16", "uris" : [ "http://www.mendeley.com/documents/?uuid=8ed64cc0-f81f-4c16-a13b-9eb9236e1ea8" ] } ], "mendeley" : { "formattedCitation" : "(Wagner et al., 2011, p. 16)", "plainTextFormattedCitation" : "(Wagner et al., 2011, p. 16)", "previouslyFormattedCitation" : "(Wagner et al., 2011, p. 16)" }, "properties" : { "noteIndex" : 0 }, "schema" : "https://github.com/citation-style-language/schema/raw/master/csl-citation.json" }</w:instrText>
            </w:r>
            <w:r w:rsidRPr="000C4CE4">
              <w:rPr>
                <w:rFonts w:cs="Arial"/>
              </w:rPr>
              <w:fldChar w:fldCharType="separate"/>
            </w:r>
            <w:r w:rsidRPr="000C4CE4">
              <w:rPr>
                <w:rFonts w:cs="Arial"/>
                <w:sz w:val="21"/>
                <w:szCs w:val="21"/>
                <w:lang w:val="en-US"/>
              </w:rPr>
              <w:t>(Wagner et al., 2011, p. 16)</w:t>
            </w:r>
            <w:r w:rsidRPr="000C4CE4">
              <w:rPr>
                <w:rFonts w:cs="Arial"/>
              </w:rPr>
              <w:fldChar w:fldCharType="end"/>
            </w:r>
          </w:p>
        </w:tc>
      </w:tr>
      <w:tr w:rsidR="005B5A01" w:rsidRPr="000C4CE4" w14:paraId="7E751746" w14:textId="77777777" w:rsidTr="00A4013D">
        <w:trPr>
          <w:trHeight w:val="63"/>
        </w:trPr>
        <w:tc>
          <w:tcPr>
            <w:tcW w:w="2977" w:type="dxa"/>
          </w:tcPr>
          <w:p w14:paraId="53439414" w14:textId="77777777" w:rsidR="005B5A01" w:rsidRPr="000C4CE4" w:rsidRDefault="005B5A01" w:rsidP="007B29A2">
            <w:pPr>
              <w:pStyle w:val="BodyText"/>
              <w:spacing w:after="0"/>
              <w:jc w:val="left"/>
              <w:rPr>
                <w:rFonts w:cs="Arial"/>
                <w:sz w:val="21"/>
                <w:szCs w:val="21"/>
              </w:rPr>
            </w:pPr>
          </w:p>
        </w:tc>
        <w:tc>
          <w:tcPr>
            <w:tcW w:w="6043" w:type="dxa"/>
          </w:tcPr>
          <w:p w14:paraId="6294B874" w14:textId="77777777" w:rsidR="005B5A01" w:rsidRPr="000C4CE4" w:rsidRDefault="005B5A01" w:rsidP="007B29A2">
            <w:pPr>
              <w:pStyle w:val="BodyText"/>
              <w:spacing w:after="0"/>
              <w:jc w:val="left"/>
              <w:rPr>
                <w:rFonts w:cs="Arial"/>
                <w:sz w:val="21"/>
                <w:szCs w:val="21"/>
              </w:rPr>
            </w:pPr>
          </w:p>
        </w:tc>
      </w:tr>
      <w:tr w:rsidR="005B5A01" w:rsidRPr="000C4CE4" w14:paraId="7E085380" w14:textId="77777777" w:rsidTr="00A4013D">
        <w:tc>
          <w:tcPr>
            <w:tcW w:w="2977" w:type="dxa"/>
          </w:tcPr>
          <w:p w14:paraId="6D0AD02A" w14:textId="77777777" w:rsidR="005B5A01" w:rsidRPr="000C4CE4" w:rsidRDefault="005B5A01" w:rsidP="007B29A2">
            <w:pPr>
              <w:pStyle w:val="BodyText"/>
              <w:spacing w:after="0"/>
              <w:jc w:val="left"/>
              <w:rPr>
                <w:rFonts w:cs="Arial"/>
                <w:sz w:val="21"/>
                <w:szCs w:val="21"/>
              </w:rPr>
            </w:pPr>
            <w:r w:rsidRPr="000C4CE4">
              <w:rPr>
                <w:rFonts w:cs="Arial"/>
                <w:sz w:val="21"/>
                <w:szCs w:val="21"/>
              </w:rPr>
              <w:t>Transdisciplinary</w:t>
            </w:r>
          </w:p>
        </w:tc>
        <w:tc>
          <w:tcPr>
            <w:tcW w:w="6043" w:type="dxa"/>
          </w:tcPr>
          <w:p w14:paraId="52E0BF49" w14:textId="77777777" w:rsidR="005B5A01" w:rsidRPr="000C4CE4" w:rsidRDefault="005B5A01" w:rsidP="007B29A2">
            <w:pPr>
              <w:pStyle w:val="BodyText"/>
              <w:spacing w:after="0"/>
              <w:jc w:val="left"/>
              <w:rPr>
                <w:rFonts w:cs="Arial"/>
                <w:sz w:val="21"/>
                <w:szCs w:val="21"/>
                <w:lang w:val="en-US"/>
              </w:rPr>
            </w:pPr>
            <w:r w:rsidRPr="000C4CE4">
              <w:rPr>
                <w:rFonts w:cs="Arial"/>
                <w:sz w:val="21"/>
                <w:szCs w:val="21"/>
                <w:lang w:val="en-US"/>
              </w:rPr>
              <w:t>“Trans-sector, problem-oriented research involving a wider range of stakeholders in society”</w:t>
            </w:r>
          </w:p>
          <w:p w14:paraId="1317403E" w14:textId="77777777" w:rsidR="005B5A01" w:rsidRPr="000C4CE4" w:rsidRDefault="005B5A01" w:rsidP="007B29A2">
            <w:pPr>
              <w:pStyle w:val="BodyText"/>
              <w:spacing w:after="0"/>
              <w:jc w:val="left"/>
              <w:rPr>
                <w:rFonts w:cs="Arial"/>
                <w:sz w:val="21"/>
                <w:szCs w:val="21"/>
              </w:rPr>
            </w:pPr>
            <w:r w:rsidRPr="000C4CE4">
              <w:rPr>
                <w:rFonts w:cs="Arial"/>
              </w:rPr>
              <w:fldChar w:fldCharType="begin" w:fldLock="1"/>
            </w:r>
            <w:r w:rsidRPr="000C4CE4">
              <w:rPr>
                <w:rFonts w:cs="Arial"/>
                <w:sz w:val="21"/>
                <w:szCs w:val="21"/>
                <w:lang w:val="en-US"/>
              </w:rPr>
              <w:instrText>ADDIN CSL_CITATION { "citationItems" : [ { "id" : "ITEM-1", "itemData" : { "author" : [ { "dropping-particle" : "", "family" : "Wagner", "given" : "C.S.", "non-dropping-particle" : "", "parse-names" : false, "suffix" : "" }, { "dropping-particle" : "", "family" : "Roessner", "given" : "J.D.", "non-dropping-particle" : "", "parse-names" : false, "suffix" : "" }, { "dropping-particle" : "", "family" : "Bobb", "given" : "K.", "non-dropping-particle" : "", "parse-names" : false, "suffix" : "" }, { "dropping-particle" : "", "family" : "Klein", "given" : "J.T.", "non-dropping-particle" : "", "parse-names" : false, "suffix" : "" }, { "dropping-particle" : "", "family" : "Boyack", "given" : "K.W.", "non-dropping-particle" : "", "parse-names" : false, "suffix" : "" }, { "dropping-particle" : "", "family" : "Keyton", "given" : "J.", "non-dropping-particle" : "", "parse-names" : false, "suffix" : "" }, { "dropping-particle" : "", "family" : "Rafols", "given" : "I.", "non-dropping-particle" : "", "parse-names" : false, "suffix" : "" }, { "dropping-particle" : "", "family" : "B\u00f6rner", "given" : "K.", "non-dropping-particle" : "", "parse-names" : false, "suffix" : "" } ], "container-title" : "Journal of Informetrics", "id" : "ITEM-1", "issue" : "1", "issued" : { "date-parts" : [ [ "2011" ] ] }, "page" : "14-26", "title" : "Approaches to understanding and measuring interdisciplinary scientific research (IDR): A review of the literature", "type" : "article-journal", "volume" : "5" }, "locator" : "16", "uris" : [ "http://www.mendeley.com/documents/?uuid=8ed64cc0-f81f-4c16-a13b-9eb9236e1ea8" ] } ], "mendeley" : { "formattedCitation" : "(Wagner et al., 2011, p. 16)", "plainTextFormattedCitation" : "(Wagner et al., 2011, p. 16)", "previouslyFormattedCitation" : "(Wagner et al., 2011, p. 16)" }, "properties" : { "noteIndex" : 0 }, "schema" : "https://github.com/citation-style-language/schema/raw/master/csl-citation.json" }</w:instrText>
            </w:r>
            <w:r w:rsidRPr="000C4CE4">
              <w:rPr>
                <w:rFonts w:cs="Arial"/>
              </w:rPr>
              <w:fldChar w:fldCharType="separate"/>
            </w:r>
            <w:r w:rsidRPr="000C4CE4">
              <w:rPr>
                <w:rFonts w:cs="Arial"/>
                <w:sz w:val="21"/>
                <w:szCs w:val="21"/>
                <w:lang w:val="en-US"/>
              </w:rPr>
              <w:t>(Klein, 2008, p. S117)</w:t>
            </w:r>
            <w:r w:rsidRPr="000C4CE4">
              <w:rPr>
                <w:rFonts w:cs="Arial"/>
              </w:rPr>
              <w:fldChar w:fldCharType="end"/>
            </w:r>
          </w:p>
        </w:tc>
      </w:tr>
      <w:tr w:rsidR="005B5A01" w:rsidRPr="000C4CE4" w14:paraId="09573BAB" w14:textId="77777777" w:rsidTr="00A4013D">
        <w:tc>
          <w:tcPr>
            <w:tcW w:w="2977" w:type="dxa"/>
          </w:tcPr>
          <w:p w14:paraId="2078528F" w14:textId="77777777" w:rsidR="005B5A01" w:rsidRPr="000C4CE4" w:rsidRDefault="005B5A01" w:rsidP="007B29A2">
            <w:pPr>
              <w:pStyle w:val="BodyText"/>
              <w:spacing w:after="0"/>
              <w:jc w:val="left"/>
              <w:rPr>
                <w:rFonts w:cs="Arial"/>
                <w:sz w:val="21"/>
                <w:szCs w:val="21"/>
              </w:rPr>
            </w:pPr>
          </w:p>
        </w:tc>
        <w:tc>
          <w:tcPr>
            <w:tcW w:w="6043" w:type="dxa"/>
          </w:tcPr>
          <w:p w14:paraId="4303F192" w14:textId="77777777" w:rsidR="005B5A01" w:rsidRPr="000C4CE4" w:rsidRDefault="005B5A01" w:rsidP="007B29A2">
            <w:pPr>
              <w:pStyle w:val="BodyText"/>
              <w:spacing w:after="0"/>
              <w:jc w:val="left"/>
              <w:rPr>
                <w:rFonts w:cs="Arial"/>
                <w:sz w:val="21"/>
                <w:szCs w:val="21"/>
              </w:rPr>
            </w:pPr>
          </w:p>
        </w:tc>
      </w:tr>
      <w:tr w:rsidR="005B5A01" w:rsidRPr="000C4CE4" w14:paraId="65E55A17" w14:textId="77777777" w:rsidTr="00A4013D">
        <w:tc>
          <w:tcPr>
            <w:tcW w:w="2977" w:type="dxa"/>
          </w:tcPr>
          <w:p w14:paraId="7298C97D" w14:textId="77777777" w:rsidR="005B5A01" w:rsidRPr="000C4CE4" w:rsidRDefault="005B5A01" w:rsidP="007B29A2">
            <w:pPr>
              <w:pStyle w:val="BodyText"/>
              <w:spacing w:after="0"/>
              <w:jc w:val="left"/>
              <w:rPr>
                <w:rFonts w:cs="Arial"/>
                <w:sz w:val="21"/>
                <w:szCs w:val="21"/>
              </w:rPr>
            </w:pPr>
            <w:r w:rsidRPr="000C4CE4">
              <w:rPr>
                <w:rFonts w:cs="Arial"/>
                <w:sz w:val="21"/>
                <w:szCs w:val="21"/>
              </w:rPr>
              <w:t>Crossdisciplinary</w:t>
            </w:r>
          </w:p>
        </w:tc>
        <w:tc>
          <w:tcPr>
            <w:tcW w:w="6043" w:type="dxa"/>
          </w:tcPr>
          <w:p w14:paraId="6A76AD5B" w14:textId="77777777" w:rsidR="005B5A01" w:rsidRPr="000C4CE4" w:rsidRDefault="005B5A01" w:rsidP="007B29A2">
            <w:pPr>
              <w:pStyle w:val="BodyText"/>
              <w:spacing w:after="0"/>
              <w:jc w:val="left"/>
              <w:rPr>
                <w:rFonts w:cs="Arial"/>
                <w:sz w:val="21"/>
                <w:szCs w:val="21"/>
              </w:rPr>
            </w:pPr>
            <w:r w:rsidRPr="000C4CE4">
              <w:rPr>
                <w:rFonts w:cs="Arial"/>
                <w:sz w:val="21"/>
                <w:szCs w:val="21"/>
              </w:rPr>
              <w:t>This term is often used to describe the three research modalities defined above.</w:t>
            </w:r>
          </w:p>
        </w:tc>
      </w:tr>
    </w:tbl>
    <w:p w14:paraId="18B66CC3" w14:textId="77777777" w:rsidR="00626B80" w:rsidRPr="000C4CE4" w:rsidRDefault="00626B80" w:rsidP="007B29A2">
      <w:pPr>
        <w:spacing w:after="0" w:line="300" w:lineRule="atLeast"/>
        <w:rPr>
          <w:rFonts w:ascii="Arial" w:hAnsi="Arial" w:cs="Arial"/>
        </w:rPr>
      </w:pPr>
    </w:p>
    <w:sectPr w:rsidR="00626B80" w:rsidRPr="000C4CE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5E0DF" w14:textId="77777777" w:rsidR="00314B4C" w:rsidRDefault="00314B4C" w:rsidP="00D3197D">
      <w:pPr>
        <w:spacing w:after="0" w:line="240" w:lineRule="auto"/>
      </w:pPr>
      <w:r>
        <w:separator/>
      </w:r>
    </w:p>
  </w:endnote>
  <w:endnote w:type="continuationSeparator" w:id="0">
    <w:p w14:paraId="779EC854" w14:textId="77777777" w:rsidR="00314B4C" w:rsidRDefault="00314B4C" w:rsidP="00D3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12585"/>
      <w:docPartObj>
        <w:docPartGallery w:val="Page Numbers (Bottom of Page)"/>
        <w:docPartUnique/>
      </w:docPartObj>
    </w:sdtPr>
    <w:sdtEndPr>
      <w:rPr>
        <w:rFonts w:ascii="Arial" w:hAnsi="Arial" w:cs="Arial"/>
        <w:noProof/>
      </w:rPr>
    </w:sdtEndPr>
    <w:sdtContent>
      <w:p w14:paraId="3EBE66FF" w14:textId="7ED82B80" w:rsidR="00460895" w:rsidRPr="00B019FA" w:rsidRDefault="00460895">
        <w:pPr>
          <w:pStyle w:val="Footer"/>
          <w:jc w:val="center"/>
          <w:rPr>
            <w:rFonts w:ascii="Arial" w:hAnsi="Arial" w:cs="Arial"/>
          </w:rPr>
        </w:pPr>
        <w:r w:rsidRPr="00B019FA">
          <w:rPr>
            <w:rFonts w:ascii="Arial" w:hAnsi="Arial" w:cs="Arial"/>
          </w:rPr>
          <w:fldChar w:fldCharType="begin"/>
        </w:r>
        <w:r w:rsidRPr="00B019FA">
          <w:rPr>
            <w:rFonts w:ascii="Arial" w:hAnsi="Arial" w:cs="Arial"/>
          </w:rPr>
          <w:instrText xml:space="preserve"> PAGE   \* MERGEFORMAT </w:instrText>
        </w:r>
        <w:r w:rsidRPr="00B019FA">
          <w:rPr>
            <w:rFonts w:ascii="Arial" w:hAnsi="Arial" w:cs="Arial"/>
          </w:rPr>
          <w:fldChar w:fldCharType="separate"/>
        </w:r>
        <w:r w:rsidR="00162024">
          <w:rPr>
            <w:rFonts w:ascii="Arial" w:hAnsi="Arial" w:cs="Arial"/>
            <w:noProof/>
          </w:rPr>
          <w:t>1</w:t>
        </w:r>
        <w:r w:rsidRPr="00B019FA">
          <w:rPr>
            <w:rFonts w:ascii="Arial" w:hAnsi="Arial" w:cs="Arial"/>
            <w:noProof/>
          </w:rPr>
          <w:fldChar w:fldCharType="end"/>
        </w:r>
      </w:p>
    </w:sdtContent>
  </w:sdt>
  <w:p w14:paraId="43A19664" w14:textId="77777777" w:rsidR="00460895" w:rsidRDefault="00460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8EBCC" w14:textId="77777777" w:rsidR="00314B4C" w:rsidRDefault="00314B4C" w:rsidP="00D3197D">
      <w:pPr>
        <w:spacing w:after="0" w:line="240" w:lineRule="auto"/>
      </w:pPr>
      <w:r>
        <w:separator/>
      </w:r>
    </w:p>
  </w:footnote>
  <w:footnote w:type="continuationSeparator" w:id="0">
    <w:p w14:paraId="3366E699" w14:textId="77777777" w:rsidR="00314B4C" w:rsidRDefault="00314B4C" w:rsidP="00D3197D">
      <w:pPr>
        <w:spacing w:after="0" w:line="240" w:lineRule="auto"/>
      </w:pPr>
      <w:r>
        <w:continuationSeparator/>
      </w:r>
    </w:p>
  </w:footnote>
  <w:footnote w:id="1">
    <w:p w14:paraId="71EC6818" w14:textId="77777777" w:rsidR="00460895" w:rsidRPr="00CC46DC" w:rsidRDefault="00460895" w:rsidP="00D3197D">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Available at: </w:t>
      </w:r>
      <w:hyperlink r:id="rId1" w:history="1">
        <w:r w:rsidRPr="00CC46DC">
          <w:rPr>
            <w:rStyle w:val="Hyperlink"/>
            <w:rFonts w:ascii="Arial" w:hAnsi="Arial" w:cs="Arial"/>
            <w:sz w:val="18"/>
            <w:szCs w:val="18"/>
          </w:rPr>
          <w:t>https://www.gov.uk/government/publications/research-excellence-framework-review</w:t>
        </w:r>
      </w:hyperlink>
      <w:r w:rsidRPr="00CC46DC">
        <w:rPr>
          <w:rFonts w:ascii="Arial" w:hAnsi="Arial" w:cs="Arial"/>
          <w:sz w:val="18"/>
          <w:szCs w:val="18"/>
        </w:rPr>
        <w:t xml:space="preserve">. </w:t>
      </w:r>
    </w:p>
  </w:footnote>
  <w:footnote w:id="2">
    <w:p w14:paraId="67153FB5" w14:textId="2311F1B5" w:rsidR="00460895" w:rsidRPr="00CC46DC" w:rsidRDefault="00460895">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Details of the nominations process can be found at: </w:t>
      </w:r>
      <w:hyperlink r:id="rId2" w:history="1">
        <w:r w:rsidRPr="00CC46DC">
          <w:rPr>
            <w:rStyle w:val="Hyperlink"/>
            <w:rFonts w:ascii="Arial" w:hAnsi="Arial" w:cs="Arial"/>
            <w:sz w:val="18"/>
            <w:szCs w:val="18"/>
          </w:rPr>
          <w:t>https://re.ukri.org/documents/hefce-documents/idr-ap-recruitment/</w:t>
        </w:r>
      </w:hyperlink>
      <w:r w:rsidRPr="00CC46DC">
        <w:rPr>
          <w:rFonts w:ascii="Arial" w:hAnsi="Arial" w:cs="Arial"/>
          <w:sz w:val="18"/>
          <w:szCs w:val="18"/>
        </w:rPr>
        <w:t xml:space="preserve"> </w:t>
      </w:r>
    </w:p>
  </w:footnote>
  <w:footnote w:id="3">
    <w:p w14:paraId="57D65CBF" w14:textId="3053E255" w:rsidR="00460895" w:rsidRPr="00AD1534" w:rsidRDefault="00460895">
      <w:pPr>
        <w:pStyle w:val="FootnoteText"/>
        <w:rPr>
          <w:rFonts w:ascii="Arial" w:hAnsi="Arial" w:cs="Arial"/>
          <w:sz w:val="18"/>
          <w:szCs w:val="18"/>
        </w:rPr>
      </w:pPr>
      <w:r w:rsidRPr="00AD1534">
        <w:rPr>
          <w:rStyle w:val="FootnoteReference"/>
          <w:rFonts w:ascii="Arial" w:hAnsi="Arial" w:cs="Arial"/>
          <w:sz w:val="18"/>
          <w:szCs w:val="18"/>
        </w:rPr>
        <w:footnoteRef/>
      </w:r>
      <w:r w:rsidRPr="00AD1534">
        <w:rPr>
          <w:rFonts w:ascii="Arial" w:hAnsi="Arial" w:cs="Arial"/>
          <w:sz w:val="18"/>
          <w:szCs w:val="18"/>
        </w:rPr>
        <w:t xml:space="preserve"> See </w:t>
      </w:r>
      <w:hyperlink r:id="rId3" w:history="1">
        <w:r w:rsidRPr="00AD1534">
          <w:rPr>
            <w:rStyle w:val="Hyperlink"/>
            <w:rFonts w:ascii="Arial" w:hAnsi="Arial" w:cs="Arial"/>
            <w:sz w:val="18"/>
            <w:szCs w:val="18"/>
          </w:rPr>
          <w:t>https://www.ref.ac.uk/2014/results/analysis/outputprofilesanddiversity/</w:t>
        </w:r>
      </w:hyperlink>
      <w:r w:rsidRPr="00AD1534">
        <w:rPr>
          <w:rFonts w:ascii="Arial" w:hAnsi="Arial" w:cs="Arial"/>
          <w:sz w:val="18"/>
          <w:szCs w:val="18"/>
        </w:rPr>
        <w:t xml:space="preserve">. </w:t>
      </w:r>
    </w:p>
  </w:footnote>
  <w:footnote w:id="4">
    <w:p w14:paraId="5C3C272A" w14:textId="51226E08" w:rsidR="00460895" w:rsidRPr="00CC46DC" w:rsidRDefault="00460895" w:rsidP="00837DD5">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The nature, scale and beneficiaries of research impact: An initial analysis of Research Excellence Framework</w:t>
      </w:r>
    </w:p>
    <w:p w14:paraId="3EC8F664" w14:textId="3E1C7317" w:rsidR="00460895" w:rsidRPr="00CC46DC" w:rsidRDefault="00460895" w:rsidP="00837DD5">
      <w:pPr>
        <w:pStyle w:val="FootnoteText"/>
        <w:rPr>
          <w:rFonts w:ascii="Arial" w:hAnsi="Arial" w:cs="Arial"/>
          <w:sz w:val="18"/>
          <w:szCs w:val="18"/>
        </w:rPr>
      </w:pPr>
      <w:r w:rsidRPr="00CC46DC">
        <w:rPr>
          <w:rFonts w:ascii="Arial" w:hAnsi="Arial" w:cs="Arial"/>
          <w:sz w:val="18"/>
          <w:szCs w:val="18"/>
        </w:rPr>
        <w:t xml:space="preserve">(REF) 2014 impact case studies (King’s College London and Digital Science 2015). Available at: </w:t>
      </w:r>
      <w:hyperlink r:id="rId4" w:history="1">
        <w:r w:rsidRPr="00CC46DC">
          <w:rPr>
            <w:rStyle w:val="Hyperlink"/>
            <w:rFonts w:ascii="Arial" w:hAnsi="Arial" w:cs="Arial"/>
            <w:sz w:val="18"/>
            <w:szCs w:val="18"/>
          </w:rPr>
          <w:t>https://www.kcl.ac.uk/sspp/policy-institute/publications/Analysis-of-REF-impact.pdf</w:t>
        </w:r>
      </w:hyperlink>
      <w:r w:rsidRPr="00CC46DC">
        <w:rPr>
          <w:rFonts w:ascii="Arial" w:hAnsi="Arial" w:cs="Arial"/>
          <w:sz w:val="18"/>
          <w:szCs w:val="18"/>
        </w:rPr>
        <w:t xml:space="preserve"> </w:t>
      </w:r>
    </w:p>
  </w:footnote>
  <w:footnote w:id="5">
    <w:p w14:paraId="34828109" w14:textId="1FBFF7EF" w:rsidR="00460895" w:rsidRDefault="00460895" w:rsidP="000B08C8">
      <w:pPr>
        <w:pStyle w:val="FootnoteText"/>
      </w:pPr>
      <w:r w:rsidRPr="00AD1534">
        <w:rPr>
          <w:rFonts w:ascii="Arial" w:hAnsi="Arial" w:cs="Arial"/>
          <w:sz w:val="18"/>
          <w:szCs w:val="18"/>
          <w:vertAlign w:val="superscript"/>
        </w:rPr>
        <w:footnoteRef/>
      </w:r>
      <w:r w:rsidRPr="000B08C8">
        <w:rPr>
          <w:rFonts w:ascii="Arial" w:hAnsi="Arial" w:cs="Arial"/>
          <w:sz w:val="18"/>
          <w:szCs w:val="18"/>
        </w:rPr>
        <w:t xml:space="preserve"> The Metric Tide: Report of the Independent Review of the Role of Metrics in Research Assessment and Management This is available at: </w:t>
      </w:r>
      <w:hyperlink r:id="rId5" w:history="1">
        <w:r w:rsidRPr="00C5614E">
          <w:rPr>
            <w:rStyle w:val="Hyperlink"/>
            <w:rFonts w:ascii="Arial" w:hAnsi="Arial" w:cs="Arial"/>
            <w:sz w:val="18"/>
            <w:szCs w:val="18"/>
          </w:rPr>
          <w:t>https://re.ukri.org/news-events-publications/publications/metric-tide/</w:t>
        </w:r>
      </w:hyperlink>
      <w:r>
        <w:rPr>
          <w:rFonts w:ascii="Arial" w:hAnsi="Arial" w:cs="Arial"/>
          <w:sz w:val="18"/>
          <w:szCs w:val="18"/>
        </w:rPr>
        <w:t xml:space="preserve"> </w:t>
      </w:r>
    </w:p>
  </w:footnote>
  <w:footnote w:id="6">
    <w:p w14:paraId="6EBA1690" w14:textId="3B06AA13" w:rsidR="00460895" w:rsidRPr="00CC46DC" w:rsidRDefault="00460895">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A review of the UK’s interdisciplinary research using a citation-based approach (Elsevier 2015). Available at: </w:t>
      </w:r>
      <w:hyperlink r:id="rId6" w:history="1">
        <w:r w:rsidRPr="00CC46DC">
          <w:rPr>
            <w:rStyle w:val="Hyperlink"/>
            <w:rFonts w:ascii="Arial" w:hAnsi="Arial" w:cs="Arial"/>
            <w:sz w:val="18"/>
            <w:szCs w:val="18"/>
          </w:rPr>
          <w:t>http://www.hefce.ac.uk/pubs/rereports/year/2015/interdisc/</w:t>
        </w:r>
      </w:hyperlink>
      <w:r w:rsidRPr="00CC46DC">
        <w:rPr>
          <w:rFonts w:ascii="Arial" w:hAnsi="Arial" w:cs="Arial"/>
          <w:sz w:val="18"/>
          <w:szCs w:val="18"/>
        </w:rPr>
        <w:t xml:space="preserve">.  </w:t>
      </w:r>
    </w:p>
  </w:footnote>
  <w:footnote w:id="7">
    <w:p w14:paraId="35B6BE8B" w14:textId="77777777" w:rsidR="00460895" w:rsidRPr="00CC46DC" w:rsidRDefault="00460895" w:rsidP="000A3FE1">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Key documents included:</w:t>
      </w:r>
    </w:p>
    <w:p w14:paraId="3EB897B7" w14:textId="77777777" w:rsidR="00460895" w:rsidRPr="00CC46DC" w:rsidRDefault="00460895" w:rsidP="000A3FE1">
      <w:pPr>
        <w:pStyle w:val="FootnoteText"/>
        <w:numPr>
          <w:ilvl w:val="0"/>
          <w:numId w:val="7"/>
        </w:numPr>
        <w:rPr>
          <w:rFonts w:ascii="Arial" w:hAnsi="Arial" w:cs="Arial"/>
          <w:sz w:val="18"/>
          <w:szCs w:val="18"/>
        </w:rPr>
      </w:pPr>
      <w:r w:rsidRPr="00CC46DC">
        <w:rPr>
          <w:rFonts w:ascii="Arial" w:hAnsi="Arial" w:cs="Arial"/>
          <w:sz w:val="18"/>
          <w:szCs w:val="18"/>
        </w:rPr>
        <w:t>A review of the UK’s interdisciplinary research using a citation-based approach (Elsevier 2015)</w:t>
      </w:r>
    </w:p>
    <w:p w14:paraId="4AA10A51" w14:textId="77777777" w:rsidR="00460895" w:rsidRPr="00CC46DC" w:rsidRDefault="00460895" w:rsidP="000A3FE1">
      <w:pPr>
        <w:pStyle w:val="FootnoteText"/>
        <w:numPr>
          <w:ilvl w:val="0"/>
          <w:numId w:val="7"/>
        </w:numPr>
        <w:rPr>
          <w:rFonts w:ascii="Arial" w:hAnsi="Arial" w:cs="Arial"/>
          <w:sz w:val="18"/>
          <w:szCs w:val="18"/>
        </w:rPr>
      </w:pPr>
      <w:r w:rsidRPr="00CC46DC">
        <w:rPr>
          <w:rFonts w:ascii="Arial" w:hAnsi="Arial" w:cs="Arial"/>
          <w:sz w:val="18"/>
          <w:szCs w:val="18"/>
        </w:rPr>
        <w:t xml:space="preserve">Report on the Landscape of IDR in the UK (Technopolis 2016) </w:t>
      </w:r>
    </w:p>
    <w:p w14:paraId="1F15A02B" w14:textId="77777777" w:rsidR="00460895" w:rsidRPr="00CC46DC" w:rsidRDefault="00460895" w:rsidP="000A3FE1">
      <w:pPr>
        <w:pStyle w:val="FootnoteText"/>
        <w:numPr>
          <w:ilvl w:val="0"/>
          <w:numId w:val="7"/>
        </w:numPr>
        <w:rPr>
          <w:rFonts w:ascii="Arial" w:hAnsi="Arial" w:cs="Arial"/>
          <w:sz w:val="18"/>
          <w:szCs w:val="18"/>
        </w:rPr>
      </w:pPr>
      <w:r w:rsidRPr="00CC46DC">
        <w:rPr>
          <w:rFonts w:ascii="Arial" w:hAnsi="Arial" w:cs="Arial"/>
          <w:sz w:val="18"/>
          <w:szCs w:val="18"/>
        </w:rPr>
        <w:t>The interdisciplinarity survey report for the Global Research Council (DJS Research 2016)</w:t>
      </w:r>
    </w:p>
    <w:p w14:paraId="1BAE43D3" w14:textId="77777777" w:rsidR="00460895" w:rsidRPr="00CC46DC" w:rsidRDefault="00460895" w:rsidP="000A3FE1">
      <w:pPr>
        <w:pStyle w:val="FootnoteText"/>
        <w:numPr>
          <w:ilvl w:val="0"/>
          <w:numId w:val="7"/>
        </w:numPr>
        <w:rPr>
          <w:rFonts w:ascii="Arial" w:hAnsi="Arial" w:cs="Arial"/>
          <w:sz w:val="18"/>
          <w:szCs w:val="18"/>
        </w:rPr>
      </w:pPr>
      <w:r w:rsidRPr="00CC46DC">
        <w:rPr>
          <w:rFonts w:ascii="Arial" w:hAnsi="Arial" w:cs="Arial"/>
          <w:sz w:val="18"/>
          <w:szCs w:val="18"/>
        </w:rPr>
        <w:t>Crossing Paths: Interdisciplinary institutions, careers, education and applications. (British Academy for the Humanities and Social Sciences 2016)</w:t>
      </w:r>
    </w:p>
    <w:p w14:paraId="076CC3F5" w14:textId="77777777" w:rsidR="00460895" w:rsidRPr="00CC46DC" w:rsidRDefault="00460895" w:rsidP="000A3FE1">
      <w:pPr>
        <w:pStyle w:val="FootnoteText"/>
        <w:numPr>
          <w:ilvl w:val="0"/>
          <w:numId w:val="7"/>
        </w:numPr>
        <w:rPr>
          <w:rFonts w:ascii="Arial" w:hAnsi="Arial" w:cs="Arial"/>
          <w:sz w:val="18"/>
          <w:szCs w:val="18"/>
        </w:rPr>
      </w:pPr>
      <w:r w:rsidRPr="00CC46DC">
        <w:rPr>
          <w:rFonts w:ascii="Arial" w:hAnsi="Arial" w:cs="Arial"/>
          <w:sz w:val="18"/>
          <w:szCs w:val="18"/>
        </w:rPr>
        <w:t>Evaluating Interdisciplinary Research: a practical guide. (Strang and McLeish 2015)</w:t>
      </w:r>
    </w:p>
    <w:p w14:paraId="72A63A5C" w14:textId="77777777" w:rsidR="00460895" w:rsidRPr="00CC46DC" w:rsidRDefault="00460895" w:rsidP="000A3FE1">
      <w:pPr>
        <w:pStyle w:val="FootnoteText"/>
        <w:numPr>
          <w:ilvl w:val="0"/>
          <w:numId w:val="7"/>
        </w:numPr>
        <w:rPr>
          <w:rFonts w:ascii="Arial" w:hAnsi="Arial" w:cs="Arial"/>
          <w:sz w:val="18"/>
          <w:szCs w:val="18"/>
        </w:rPr>
      </w:pPr>
      <w:r w:rsidRPr="00CC46DC">
        <w:rPr>
          <w:rFonts w:ascii="Arial" w:hAnsi="Arial" w:cs="Arial"/>
          <w:sz w:val="18"/>
          <w:szCs w:val="18"/>
        </w:rPr>
        <w:t xml:space="preserve">Call for Evidence Independent review of the Research Excellence Framework (REF): Synthesis of responses (Technopolis 2016) </w:t>
      </w:r>
    </w:p>
  </w:footnote>
  <w:footnote w:id="8">
    <w:p w14:paraId="3EA13537" w14:textId="77777777" w:rsidR="00460895" w:rsidRPr="00CC46DC" w:rsidRDefault="00460895" w:rsidP="00A12CA7">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See page 28. Available at: </w:t>
      </w:r>
      <w:hyperlink r:id="rId7" w:history="1">
        <w:r w:rsidRPr="00CC46DC">
          <w:rPr>
            <w:rStyle w:val="Hyperlink"/>
            <w:rFonts w:ascii="Arial" w:hAnsi="Arial" w:cs="Arial"/>
            <w:sz w:val="18"/>
            <w:szCs w:val="18"/>
          </w:rPr>
          <w:t>https://www.gov.uk/government/publications/research-excellence-framework-review</w:t>
        </w:r>
      </w:hyperlink>
      <w:r w:rsidRPr="00CC46DC">
        <w:rPr>
          <w:rFonts w:ascii="Arial" w:hAnsi="Arial" w:cs="Arial"/>
          <w:sz w:val="18"/>
          <w:szCs w:val="18"/>
        </w:rPr>
        <w:t xml:space="preserve">. </w:t>
      </w:r>
    </w:p>
  </w:footnote>
  <w:footnote w:id="9">
    <w:p w14:paraId="134A290C" w14:textId="77777777" w:rsidR="00460895" w:rsidRPr="00CC46DC" w:rsidRDefault="00460895" w:rsidP="00B247E3">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See paragraphs 60-63. Available at: </w:t>
      </w:r>
      <w:hyperlink r:id="rId8" w:history="1">
        <w:r w:rsidRPr="00CC46DC">
          <w:rPr>
            <w:rStyle w:val="Hyperlink"/>
            <w:rFonts w:ascii="Arial" w:hAnsi="Arial" w:cs="Arial"/>
            <w:sz w:val="18"/>
            <w:szCs w:val="18"/>
          </w:rPr>
          <w:t>http://www.ref.ac.uk/publications/2017/consultationonthesecondresearchexcellenceframeworksummaryofresponses.html</w:t>
        </w:r>
      </w:hyperlink>
      <w:r w:rsidRPr="00CC46DC">
        <w:rPr>
          <w:rFonts w:ascii="Arial" w:hAnsi="Arial" w:cs="Arial"/>
          <w:sz w:val="18"/>
          <w:szCs w:val="18"/>
        </w:rPr>
        <w:t xml:space="preserve">. </w:t>
      </w:r>
    </w:p>
  </w:footnote>
  <w:footnote w:id="10">
    <w:p w14:paraId="6743414E" w14:textId="77777777" w:rsidR="00460895" w:rsidRPr="00CC46DC" w:rsidRDefault="00460895" w:rsidP="00920A0B">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w:t>
      </w:r>
      <w:hyperlink r:id="rId9" w:history="1">
        <w:r w:rsidRPr="00CC46DC">
          <w:rPr>
            <w:rStyle w:val="Hyperlink"/>
            <w:rFonts w:ascii="Arial" w:hAnsi="Arial" w:cs="Arial"/>
            <w:sz w:val="18"/>
            <w:szCs w:val="18"/>
          </w:rPr>
          <w:t>http://www.ref.ac.uk/publications/2017/initialdecisionsontheresearchexcellenceframework2021.html</w:t>
        </w:r>
      </w:hyperlink>
      <w:r w:rsidRPr="00CC46DC">
        <w:rPr>
          <w:rFonts w:ascii="Arial" w:hAnsi="Arial" w:cs="Arial"/>
          <w:sz w:val="18"/>
          <w:szCs w:val="18"/>
        </w:rPr>
        <w:t xml:space="preserve"> </w:t>
      </w:r>
    </w:p>
  </w:footnote>
  <w:footnote w:id="11">
    <w:p w14:paraId="64651A41" w14:textId="77777777" w:rsidR="00460895" w:rsidRPr="00CC46DC" w:rsidRDefault="00460895" w:rsidP="00A64EB1">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w:t>
      </w:r>
      <w:hyperlink r:id="rId10" w:history="1">
        <w:r w:rsidRPr="00CC46DC">
          <w:rPr>
            <w:rStyle w:val="Hyperlink"/>
            <w:rFonts w:ascii="Arial" w:hAnsi="Arial" w:cs="Arial"/>
            <w:sz w:val="18"/>
            <w:szCs w:val="18"/>
          </w:rPr>
          <w:t>http://www.ref.ac.uk/publications/2017/rolesandrecruitmentoftheexpertpanels.html</w:t>
        </w:r>
      </w:hyperlink>
      <w:r w:rsidRPr="00CC46DC">
        <w:rPr>
          <w:rFonts w:ascii="Arial" w:hAnsi="Arial" w:cs="Arial"/>
          <w:sz w:val="18"/>
          <w:szCs w:val="18"/>
        </w:rPr>
        <w:t xml:space="preserve"> </w:t>
      </w:r>
    </w:p>
  </w:footnote>
  <w:footnote w:id="12">
    <w:p w14:paraId="05F4CB2D" w14:textId="629D0FAF" w:rsidR="00460895" w:rsidRPr="00CC46DC" w:rsidRDefault="00460895">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’Panel criteria and working methods’ (REF 2019/02).</w:t>
      </w:r>
    </w:p>
  </w:footnote>
  <w:footnote w:id="13">
    <w:p w14:paraId="4834A04A" w14:textId="77777777" w:rsidR="00460895" w:rsidRPr="00CC46DC" w:rsidRDefault="00460895" w:rsidP="009F793B">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FFRRM advice to REF2021 Panels: this can be found at: </w:t>
      </w:r>
      <w:hyperlink r:id="rId11" w:history="1">
        <w:r w:rsidRPr="00CC46DC">
          <w:rPr>
            <w:rStyle w:val="Hyperlink"/>
            <w:rFonts w:ascii="Arial" w:hAnsi="Arial" w:cs="Arial"/>
            <w:sz w:val="18"/>
            <w:szCs w:val="18"/>
          </w:rPr>
          <w:t>FFRRM Advice to REF2021 Panels</w:t>
        </w:r>
      </w:hyperlink>
    </w:p>
  </w:footnote>
  <w:footnote w:id="14">
    <w:p w14:paraId="6A4D8169" w14:textId="2FCA737F" w:rsidR="00460895" w:rsidRPr="00CC46DC" w:rsidRDefault="00460895">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In July 2018, the four funding bodies published draft guidance and criteria for consultation. More information can be found at: </w:t>
      </w:r>
      <w:hyperlink r:id="rId12" w:history="1">
        <w:r w:rsidRPr="00CC46DC">
          <w:rPr>
            <w:rStyle w:val="Hyperlink"/>
            <w:rFonts w:ascii="Arial" w:hAnsi="Arial" w:cs="Arial"/>
            <w:sz w:val="18"/>
            <w:szCs w:val="18"/>
          </w:rPr>
          <w:t>http://www.ref.ac.uk/publications/draft-guidance-on-submissions-201801/</w:t>
        </w:r>
      </w:hyperlink>
      <w:r w:rsidRPr="00CC46DC">
        <w:rPr>
          <w:rFonts w:ascii="Arial" w:hAnsi="Arial" w:cs="Arial"/>
          <w:sz w:val="18"/>
          <w:szCs w:val="18"/>
        </w:rPr>
        <w:t xml:space="preserve"> and </w:t>
      </w:r>
      <w:hyperlink r:id="rId13" w:history="1">
        <w:r w:rsidRPr="00CC46DC">
          <w:rPr>
            <w:rStyle w:val="Hyperlink"/>
            <w:rFonts w:ascii="Arial" w:hAnsi="Arial" w:cs="Arial"/>
            <w:sz w:val="18"/>
            <w:szCs w:val="18"/>
          </w:rPr>
          <w:t>http://www.ref.ac.uk/publications/consultation-on-the-panel-criteria-and-working-methods-201802/</w:t>
        </w:r>
      </w:hyperlink>
      <w:r w:rsidRPr="00CC46DC">
        <w:rPr>
          <w:rFonts w:ascii="Arial" w:hAnsi="Arial" w:cs="Arial"/>
          <w:sz w:val="18"/>
          <w:szCs w:val="18"/>
        </w:rPr>
        <w:t xml:space="preserve">. </w:t>
      </w:r>
    </w:p>
  </w:footnote>
  <w:footnote w:id="15">
    <w:p w14:paraId="19A97795" w14:textId="77777777" w:rsidR="00460895" w:rsidRPr="00CC46DC" w:rsidRDefault="00460895" w:rsidP="00233858">
      <w:pPr>
        <w:pStyle w:val="FootnoteText"/>
        <w:rPr>
          <w:rFonts w:ascii="Arial" w:hAnsi="Arial" w:cs="Arial"/>
          <w:sz w:val="18"/>
          <w:szCs w:val="18"/>
        </w:rPr>
      </w:pPr>
      <w:r w:rsidRPr="00CC46DC">
        <w:rPr>
          <w:rStyle w:val="FootnoteReference"/>
          <w:rFonts w:ascii="Arial" w:hAnsi="Arial" w:cs="Arial"/>
          <w:sz w:val="18"/>
          <w:szCs w:val="18"/>
        </w:rPr>
        <w:footnoteRef/>
      </w:r>
      <w:hyperlink r:id="rId14" w:history="1">
        <w:r w:rsidRPr="00CC46DC">
          <w:rPr>
            <w:rStyle w:val="Hyperlink"/>
            <w:rFonts w:ascii="Arial" w:hAnsi="Arial" w:cs="Arial"/>
            <w:sz w:val="18"/>
            <w:szCs w:val="18"/>
          </w:rPr>
          <w:t>http://www.hefce.ac.uk/media/HEFCE,2014/Content/Pubs/Independentresearch/2015/Review,of,the,UKs,interdisciplinary,research/2015_interdisca.pdf</w:t>
        </w:r>
      </w:hyperlink>
      <w:r w:rsidRPr="00CC46DC">
        <w:rPr>
          <w:rFonts w:ascii="Arial" w:hAnsi="Arial" w:cs="Arial"/>
          <w:sz w:val="18"/>
          <w:szCs w:val="18"/>
        </w:rPr>
        <w:t xml:space="preserve"> </w:t>
      </w:r>
    </w:p>
  </w:footnote>
  <w:footnote w:id="16">
    <w:p w14:paraId="2ABE22FC" w14:textId="77777777" w:rsidR="00460895" w:rsidRPr="00CC46DC" w:rsidRDefault="00460895" w:rsidP="005B5A01">
      <w:pPr>
        <w:pStyle w:val="FootnoteText"/>
        <w:rPr>
          <w:rFonts w:ascii="Arial" w:hAnsi="Arial" w:cs="Arial"/>
          <w:sz w:val="18"/>
          <w:szCs w:val="18"/>
        </w:rPr>
      </w:pPr>
      <w:r w:rsidRPr="00CC46DC">
        <w:rPr>
          <w:rStyle w:val="FootnoteReference"/>
          <w:rFonts w:ascii="Arial" w:hAnsi="Arial" w:cs="Arial"/>
          <w:sz w:val="18"/>
          <w:szCs w:val="18"/>
        </w:rPr>
        <w:footnoteRef/>
      </w:r>
      <w:r w:rsidRPr="00CC46DC">
        <w:rPr>
          <w:rFonts w:ascii="Arial" w:hAnsi="Arial" w:cs="Arial"/>
          <w:sz w:val="18"/>
          <w:szCs w:val="18"/>
        </w:rPr>
        <w:t xml:space="preserve"> </w:t>
      </w:r>
      <w:hyperlink r:id="rId15" w:history="1">
        <w:r w:rsidRPr="00CC46DC">
          <w:rPr>
            <w:rStyle w:val="Hyperlink"/>
            <w:rFonts w:ascii="Arial" w:hAnsi="Arial" w:cs="Arial"/>
            <w:sz w:val="18"/>
            <w:szCs w:val="18"/>
          </w:rPr>
          <w:t>http://www.hefce.ac.uk/pubs/rereports/year/2016/interdis/</w:t>
        </w:r>
      </w:hyperlink>
      <w:r w:rsidRPr="00CC46DC">
        <w:rPr>
          <w:rFonts w:ascii="Arial" w:hAnsi="Arial" w:cs="Arial"/>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6F3"/>
    <w:multiLevelType w:val="multilevel"/>
    <w:tmpl w:val="553C5F92"/>
    <w:lvl w:ilvl="0">
      <w:start w:val="1"/>
      <w:numFmt w:val="decimal"/>
      <w:lvlText w:val="%1."/>
      <w:lvlJc w:val="left"/>
      <w:pPr>
        <w:ind w:left="360" w:hanging="360"/>
      </w:pPr>
      <w:rPr>
        <w:rFonts w:ascii="Arial" w:hAnsi="Arial" w:cs="Arial" w:hint="default"/>
        <w:b w:val="0"/>
        <w:i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C052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863BE5"/>
    <w:multiLevelType w:val="multilevel"/>
    <w:tmpl w:val="28F23B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rPr>
        <w:b w:val="0"/>
      </w:r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 w15:restartNumberingAfterBreak="0">
    <w:nsid w:val="0E935B1B"/>
    <w:multiLevelType w:val="multilevel"/>
    <w:tmpl w:val="FCDC2DDE"/>
    <w:lvl w:ilvl="0">
      <w:start w:val="67"/>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60743F"/>
    <w:multiLevelType w:val="hybridMultilevel"/>
    <w:tmpl w:val="E0E2F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0C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E95C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C02269"/>
    <w:multiLevelType w:val="multilevel"/>
    <w:tmpl w:val="CD6C2938"/>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E1F0F"/>
    <w:multiLevelType w:val="multilevel"/>
    <w:tmpl w:val="CD6C2938"/>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F929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C1794"/>
    <w:multiLevelType w:val="hybridMultilevel"/>
    <w:tmpl w:val="6E72A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154931"/>
    <w:multiLevelType w:val="hybridMultilevel"/>
    <w:tmpl w:val="4F340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A02F6"/>
    <w:multiLevelType w:val="hybridMultilevel"/>
    <w:tmpl w:val="2A4869D8"/>
    <w:lvl w:ilvl="0" w:tplc="8850FA6A">
      <w:start w:val="1"/>
      <w:numFmt w:val="bullet"/>
      <w:pStyle w:val="Bullet"/>
      <w:lvlText w:val=""/>
      <w:lvlJc w:val="left"/>
      <w:pPr>
        <w:tabs>
          <w:tab w:val="num" w:pos="3744"/>
        </w:tabs>
        <w:ind w:left="3744" w:hanging="302"/>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Arial" w:hint="default"/>
      </w:rPr>
    </w:lvl>
    <w:lvl w:ilvl="2" w:tplc="08090005">
      <w:start w:val="1"/>
      <w:numFmt w:val="bullet"/>
      <w:lvlText w:val=""/>
      <w:lvlJc w:val="left"/>
      <w:pPr>
        <w:tabs>
          <w:tab w:val="num" w:pos="5040"/>
        </w:tabs>
        <w:ind w:left="5040" w:hanging="360"/>
      </w:pPr>
      <w:rPr>
        <w:rFonts w:ascii="Wingdings" w:hAnsi="Wingdings" w:hint="default"/>
      </w:rPr>
    </w:lvl>
    <w:lvl w:ilvl="3" w:tplc="0809000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Arial"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Arial"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34F0220A"/>
    <w:multiLevelType w:val="hybridMultilevel"/>
    <w:tmpl w:val="1896B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2D49CF"/>
    <w:multiLevelType w:val="hybridMultilevel"/>
    <w:tmpl w:val="AB16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35A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B45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C07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7526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2F06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8F1615"/>
    <w:multiLevelType w:val="multilevel"/>
    <w:tmpl w:val="CDB67B8A"/>
    <w:lvl w:ilvl="0">
      <w:start w:val="197"/>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1" w15:restartNumberingAfterBreak="0">
    <w:nsid w:val="66103B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CB5352"/>
    <w:multiLevelType w:val="hybridMultilevel"/>
    <w:tmpl w:val="77E4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053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A171AB"/>
    <w:multiLevelType w:val="hybridMultilevel"/>
    <w:tmpl w:val="E782F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23024"/>
    <w:multiLevelType w:val="multilevel"/>
    <w:tmpl w:val="943C29DC"/>
    <w:name w:val="HEFCE4"/>
    <w:lvl w:ilvl="0">
      <w:start w:val="1"/>
      <w:numFmt w:val="decimal"/>
      <w:lvlRestart w:val="0"/>
      <w:lvlText w:val="%1."/>
      <w:lvlJc w:val="left"/>
      <w:pPr>
        <w:tabs>
          <w:tab w:val="num" w:pos="567"/>
        </w:tabs>
        <w:ind w:left="0" w:firstLine="0"/>
      </w:pPr>
      <w:rPr>
        <w:b w:val="0"/>
        <w:i w:val="0"/>
      </w:rPr>
    </w:lvl>
    <w:lvl w:ilvl="1">
      <w:start w:val="1"/>
      <w:numFmt w:val="lowerLetter"/>
      <w:lvlText w:val="%2."/>
      <w:lvlJc w:val="left"/>
      <w:pPr>
        <w:tabs>
          <w:tab w:val="num" w:pos="1134"/>
        </w:tabs>
        <w:ind w:left="567" w:firstLine="0"/>
      </w:pPr>
      <w:rPr>
        <w:b w:val="0"/>
      </w:r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6" w15:restartNumberingAfterBreak="0">
    <w:nsid w:val="7B7D4E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027B76"/>
    <w:multiLevelType w:val="hybridMultilevel"/>
    <w:tmpl w:val="5696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9"/>
  </w:num>
  <w:num w:numId="4">
    <w:abstractNumId w:val="16"/>
  </w:num>
  <w:num w:numId="5">
    <w:abstractNumId w:val="1"/>
  </w:num>
  <w:num w:numId="6">
    <w:abstractNumId w:val="15"/>
  </w:num>
  <w:num w:numId="7">
    <w:abstractNumId w:val="14"/>
  </w:num>
  <w:num w:numId="8">
    <w:abstractNumId w:val="9"/>
  </w:num>
  <w:num w:numId="9">
    <w:abstractNumId w:val="6"/>
  </w:num>
  <w:num w:numId="10">
    <w:abstractNumId w:val="26"/>
  </w:num>
  <w:num w:numId="11">
    <w:abstractNumId w:val="17"/>
  </w:num>
  <w:num w:numId="12">
    <w:abstractNumId w:val="21"/>
  </w:num>
  <w:num w:numId="13">
    <w:abstractNumId w:val="23"/>
  </w:num>
  <w:num w:numId="14">
    <w:abstractNumId w:val="18"/>
  </w:num>
  <w:num w:numId="15">
    <w:abstractNumId w:val="5"/>
  </w:num>
  <w:num w:numId="16">
    <w:abstractNumId w:val="7"/>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5"/>
  </w:num>
  <w:num w:numId="20">
    <w:abstractNumId w:val="20"/>
  </w:num>
  <w:num w:numId="21">
    <w:abstractNumId w:val="24"/>
  </w:num>
  <w:num w:numId="22">
    <w:abstractNumId w:val="8"/>
  </w:num>
  <w:num w:numId="23">
    <w:abstractNumId w:val="2"/>
  </w:num>
  <w:num w:numId="24">
    <w:abstractNumId w:val="4"/>
  </w:num>
  <w:num w:numId="25">
    <w:abstractNumId w:val="0"/>
  </w:num>
  <w:num w:numId="26">
    <w:abstractNumId w:val="22"/>
  </w:num>
  <w:num w:numId="27">
    <w:abstractNumId w:val="11"/>
  </w:num>
  <w:num w:numId="28">
    <w:abstractNumId w:val="13"/>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80"/>
    <w:rsid w:val="00005E4E"/>
    <w:rsid w:val="00012E63"/>
    <w:rsid w:val="000323C1"/>
    <w:rsid w:val="00034D91"/>
    <w:rsid w:val="00040915"/>
    <w:rsid w:val="00040ACB"/>
    <w:rsid w:val="0004378F"/>
    <w:rsid w:val="00050AEA"/>
    <w:rsid w:val="0007410D"/>
    <w:rsid w:val="00076647"/>
    <w:rsid w:val="00081E42"/>
    <w:rsid w:val="00091178"/>
    <w:rsid w:val="000A39B5"/>
    <w:rsid w:val="000A3FE1"/>
    <w:rsid w:val="000B08C8"/>
    <w:rsid w:val="000C4CE4"/>
    <w:rsid w:val="000D1AAA"/>
    <w:rsid w:val="000D1D3A"/>
    <w:rsid w:val="000D21ED"/>
    <w:rsid w:val="000E3CA1"/>
    <w:rsid w:val="000E58F1"/>
    <w:rsid w:val="000F2B41"/>
    <w:rsid w:val="00102EEB"/>
    <w:rsid w:val="001034EC"/>
    <w:rsid w:val="001406FF"/>
    <w:rsid w:val="001531A0"/>
    <w:rsid w:val="001575E4"/>
    <w:rsid w:val="00162024"/>
    <w:rsid w:val="00175770"/>
    <w:rsid w:val="0018163D"/>
    <w:rsid w:val="0019233E"/>
    <w:rsid w:val="001930BF"/>
    <w:rsid w:val="00193209"/>
    <w:rsid w:val="00195315"/>
    <w:rsid w:val="00195E8E"/>
    <w:rsid w:val="001A2C18"/>
    <w:rsid w:val="001A30E1"/>
    <w:rsid w:val="001A409C"/>
    <w:rsid w:val="001A6CEB"/>
    <w:rsid w:val="001B485B"/>
    <w:rsid w:val="001B4B6D"/>
    <w:rsid w:val="001C0825"/>
    <w:rsid w:val="001C0F9A"/>
    <w:rsid w:val="001D3AC9"/>
    <w:rsid w:val="001D4FE5"/>
    <w:rsid w:val="001E3519"/>
    <w:rsid w:val="001E5328"/>
    <w:rsid w:val="001F1BB3"/>
    <w:rsid w:val="001F48F9"/>
    <w:rsid w:val="001F63FB"/>
    <w:rsid w:val="002047D3"/>
    <w:rsid w:val="00204E07"/>
    <w:rsid w:val="00206E69"/>
    <w:rsid w:val="00210206"/>
    <w:rsid w:val="00213C9C"/>
    <w:rsid w:val="00223A5A"/>
    <w:rsid w:val="00225E62"/>
    <w:rsid w:val="002279AD"/>
    <w:rsid w:val="00233858"/>
    <w:rsid w:val="00241372"/>
    <w:rsid w:val="00245413"/>
    <w:rsid w:val="00246E0C"/>
    <w:rsid w:val="00251373"/>
    <w:rsid w:val="00257825"/>
    <w:rsid w:val="00265395"/>
    <w:rsid w:val="00271AEC"/>
    <w:rsid w:val="002726D8"/>
    <w:rsid w:val="00277A57"/>
    <w:rsid w:val="00277C14"/>
    <w:rsid w:val="0029177F"/>
    <w:rsid w:val="0029293C"/>
    <w:rsid w:val="00296286"/>
    <w:rsid w:val="002A3D2B"/>
    <w:rsid w:val="002A47FC"/>
    <w:rsid w:val="002C3E17"/>
    <w:rsid w:val="002F2192"/>
    <w:rsid w:val="002F2C1D"/>
    <w:rsid w:val="00300AC9"/>
    <w:rsid w:val="00306E38"/>
    <w:rsid w:val="00314B4C"/>
    <w:rsid w:val="00315330"/>
    <w:rsid w:val="00315C96"/>
    <w:rsid w:val="003219D6"/>
    <w:rsid w:val="0032236F"/>
    <w:rsid w:val="0032257A"/>
    <w:rsid w:val="00322DAB"/>
    <w:rsid w:val="00324FF3"/>
    <w:rsid w:val="00325B55"/>
    <w:rsid w:val="00325CF3"/>
    <w:rsid w:val="00326998"/>
    <w:rsid w:val="00333B07"/>
    <w:rsid w:val="00333F08"/>
    <w:rsid w:val="0034062C"/>
    <w:rsid w:val="003434C2"/>
    <w:rsid w:val="003445B3"/>
    <w:rsid w:val="00345D8D"/>
    <w:rsid w:val="0035277F"/>
    <w:rsid w:val="00354C1B"/>
    <w:rsid w:val="00366CF0"/>
    <w:rsid w:val="003766C2"/>
    <w:rsid w:val="00392751"/>
    <w:rsid w:val="003A3BEE"/>
    <w:rsid w:val="003A68FE"/>
    <w:rsid w:val="003A6C68"/>
    <w:rsid w:val="003B30B1"/>
    <w:rsid w:val="003C0AF7"/>
    <w:rsid w:val="003C5169"/>
    <w:rsid w:val="003D3E78"/>
    <w:rsid w:val="003D5EB9"/>
    <w:rsid w:val="003F1287"/>
    <w:rsid w:val="003F4452"/>
    <w:rsid w:val="003F5D10"/>
    <w:rsid w:val="003F5DFA"/>
    <w:rsid w:val="003F6034"/>
    <w:rsid w:val="003F6AE9"/>
    <w:rsid w:val="0040102D"/>
    <w:rsid w:val="00412083"/>
    <w:rsid w:val="004141D7"/>
    <w:rsid w:val="00414EA1"/>
    <w:rsid w:val="00415AF9"/>
    <w:rsid w:val="00417FD7"/>
    <w:rsid w:val="00421942"/>
    <w:rsid w:val="00421FB8"/>
    <w:rsid w:val="004272E6"/>
    <w:rsid w:val="004273FD"/>
    <w:rsid w:val="00433A82"/>
    <w:rsid w:val="00434B77"/>
    <w:rsid w:val="00434CE0"/>
    <w:rsid w:val="00437DA0"/>
    <w:rsid w:val="0044587F"/>
    <w:rsid w:val="00454FC4"/>
    <w:rsid w:val="004568BD"/>
    <w:rsid w:val="00460895"/>
    <w:rsid w:val="004658DF"/>
    <w:rsid w:val="004776B7"/>
    <w:rsid w:val="00477EE8"/>
    <w:rsid w:val="00487D18"/>
    <w:rsid w:val="00493948"/>
    <w:rsid w:val="004A0D95"/>
    <w:rsid w:val="004A1B4E"/>
    <w:rsid w:val="004A3D82"/>
    <w:rsid w:val="004A72D9"/>
    <w:rsid w:val="004B03B2"/>
    <w:rsid w:val="004B2A5F"/>
    <w:rsid w:val="004B489E"/>
    <w:rsid w:val="004B74E5"/>
    <w:rsid w:val="004C0A43"/>
    <w:rsid w:val="004C5F6F"/>
    <w:rsid w:val="004D1DDB"/>
    <w:rsid w:val="004D3FCB"/>
    <w:rsid w:val="004E45EA"/>
    <w:rsid w:val="004F1D1C"/>
    <w:rsid w:val="00506EE7"/>
    <w:rsid w:val="00507B1F"/>
    <w:rsid w:val="00515650"/>
    <w:rsid w:val="00516D38"/>
    <w:rsid w:val="00524880"/>
    <w:rsid w:val="00527DA9"/>
    <w:rsid w:val="00534A97"/>
    <w:rsid w:val="00536641"/>
    <w:rsid w:val="00541562"/>
    <w:rsid w:val="00541712"/>
    <w:rsid w:val="00541DA7"/>
    <w:rsid w:val="00542C31"/>
    <w:rsid w:val="00546B7B"/>
    <w:rsid w:val="00550759"/>
    <w:rsid w:val="0055615F"/>
    <w:rsid w:val="00557A2F"/>
    <w:rsid w:val="00583855"/>
    <w:rsid w:val="00587BC8"/>
    <w:rsid w:val="00590A34"/>
    <w:rsid w:val="00595D7E"/>
    <w:rsid w:val="005B0C18"/>
    <w:rsid w:val="005B1488"/>
    <w:rsid w:val="005B50BD"/>
    <w:rsid w:val="005B5A01"/>
    <w:rsid w:val="005B5A34"/>
    <w:rsid w:val="005C1477"/>
    <w:rsid w:val="005D12B0"/>
    <w:rsid w:val="005D5F32"/>
    <w:rsid w:val="005D6B66"/>
    <w:rsid w:val="005E1A92"/>
    <w:rsid w:val="005E2AAE"/>
    <w:rsid w:val="005E62C3"/>
    <w:rsid w:val="005F183A"/>
    <w:rsid w:val="005F225A"/>
    <w:rsid w:val="005F2729"/>
    <w:rsid w:val="005F7898"/>
    <w:rsid w:val="00621B47"/>
    <w:rsid w:val="00626B80"/>
    <w:rsid w:val="00642EE9"/>
    <w:rsid w:val="00647125"/>
    <w:rsid w:val="00654EB3"/>
    <w:rsid w:val="00655686"/>
    <w:rsid w:val="00660C7C"/>
    <w:rsid w:val="00665D91"/>
    <w:rsid w:val="00670BC1"/>
    <w:rsid w:val="00670D82"/>
    <w:rsid w:val="00673865"/>
    <w:rsid w:val="00681384"/>
    <w:rsid w:val="0068142F"/>
    <w:rsid w:val="00694661"/>
    <w:rsid w:val="00694CCD"/>
    <w:rsid w:val="006A72C4"/>
    <w:rsid w:val="006A7904"/>
    <w:rsid w:val="006B54B9"/>
    <w:rsid w:val="006B6A49"/>
    <w:rsid w:val="006B71A1"/>
    <w:rsid w:val="006C0C83"/>
    <w:rsid w:val="006D3A85"/>
    <w:rsid w:val="006D59E8"/>
    <w:rsid w:val="006D7AF6"/>
    <w:rsid w:val="006E2C5B"/>
    <w:rsid w:val="006E4CBE"/>
    <w:rsid w:val="006F2EBA"/>
    <w:rsid w:val="007131F2"/>
    <w:rsid w:val="00723751"/>
    <w:rsid w:val="00726776"/>
    <w:rsid w:val="0072696B"/>
    <w:rsid w:val="00734B61"/>
    <w:rsid w:val="00735035"/>
    <w:rsid w:val="00735A8F"/>
    <w:rsid w:val="007425FE"/>
    <w:rsid w:val="00746A6A"/>
    <w:rsid w:val="00755E8B"/>
    <w:rsid w:val="007624E2"/>
    <w:rsid w:val="007703EE"/>
    <w:rsid w:val="007749B2"/>
    <w:rsid w:val="00775622"/>
    <w:rsid w:val="00781F92"/>
    <w:rsid w:val="0078312F"/>
    <w:rsid w:val="00783EF9"/>
    <w:rsid w:val="007863E0"/>
    <w:rsid w:val="007979DC"/>
    <w:rsid w:val="007B29A2"/>
    <w:rsid w:val="007B575E"/>
    <w:rsid w:val="007C3C1E"/>
    <w:rsid w:val="007D31C2"/>
    <w:rsid w:val="007D66D8"/>
    <w:rsid w:val="007D7272"/>
    <w:rsid w:val="007E0482"/>
    <w:rsid w:val="007E2363"/>
    <w:rsid w:val="007E3B28"/>
    <w:rsid w:val="007E3E88"/>
    <w:rsid w:val="008042CB"/>
    <w:rsid w:val="0080549C"/>
    <w:rsid w:val="00807A3A"/>
    <w:rsid w:val="008131B2"/>
    <w:rsid w:val="00816015"/>
    <w:rsid w:val="008169B1"/>
    <w:rsid w:val="008204F7"/>
    <w:rsid w:val="00822F0B"/>
    <w:rsid w:val="00822F2F"/>
    <w:rsid w:val="00827080"/>
    <w:rsid w:val="008314C5"/>
    <w:rsid w:val="00833EEE"/>
    <w:rsid w:val="008359C3"/>
    <w:rsid w:val="00837DD5"/>
    <w:rsid w:val="00840938"/>
    <w:rsid w:val="0084448D"/>
    <w:rsid w:val="008469D6"/>
    <w:rsid w:val="008531B5"/>
    <w:rsid w:val="00856444"/>
    <w:rsid w:val="00862FE8"/>
    <w:rsid w:val="00872E77"/>
    <w:rsid w:val="008731E5"/>
    <w:rsid w:val="00873550"/>
    <w:rsid w:val="008776EB"/>
    <w:rsid w:val="008905FD"/>
    <w:rsid w:val="008907F3"/>
    <w:rsid w:val="008A1C1C"/>
    <w:rsid w:val="008A3610"/>
    <w:rsid w:val="008A4C66"/>
    <w:rsid w:val="008B2607"/>
    <w:rsid w:val="008B2A4E"/>
    <w:rsid w:val="008C1CDB"/>
    <w:rsid w:val="008C2B57"/>
    <w:rsid w:val="008C410C"/>
    <w:rsid w:val="008C4D13"/>
    <w:rsid w:val="008C5F6B"/>
    <w:rsid w:val="008E2E97"/>
    <w:rsid w:val="008E43EC"/>
    <w:rsid w:val="008E565D"/>
    <w:rsid w:val="009017D3"/>
    <w:rsid w:val="009066C6"/>
    <w:rsid w:val="00912487"/>
    <w:rsid w:val="00920A0B"/>
    <w:rsid w:val="00922189"/>
    <w:rsid w:val="00924BCA"/>
    <w:rsid w:val="00925E61"/>
    <w:rsid w:val="00935EE0"/>
    <w:rsid w:val="0094273B"/>
    <w:rsid w:val="00943D5E"/>
    <w:rsid w:val="00947049"/>
    <w:rsid w:val="00947B7D"/>
    <w:rsid w:val="00950DA7"/>
    <w:rsid w:val="0095646E"/>
    <w:rsid w:val="009668C0"/>
    <w:rsid w:val="00971BAC"/>
    <w:rsid w:val="00974F6D"/>
    <w:rsid w:val="0098635E"/>
    <w:rsid w:val="009916A5"/>
    <w:rsid w:val="00993C6C"/>
    <w:rsid w:val="009953D1"/>
    <w:rsid w:val="009974E2"/>
    <w:rsid w:val="009A4658"/>
    <w:rsid w:val="009B39C0"/>
    <w:rsid w:val="009B3DAC"/>
    <w:rsid w:val="009C62A8"/>
    <w:rsid w:val="009C6342"/>
    <w:rsid w:val="009D2454"/>
    <w:rsid w:val="009E08D5"/>
    <w:rsid w:val="009E117C"/>
    <w:rsid w:val="009F2DF8"/>
    <w:rsid w:val="009F46EF"/>
    <w:rsid w:val="009F793B"/>
    <w:rsid w:val="00A031F9"/>
    <w:rsid w:val="00A10225"/>
    <w:rsid w:val="00A12CA7"/>
    <w:rsid w:val="00A1557A"/>
    <w:rsid w:val="00A15738"/>
    <w:rsid w:val="00A2576A"/>
    <w:rsid w:val="00A34CA8"/>
    <w:rsid w:val="00A365F8"/>
    <w:rsid w:val="00A4013D"/>
    <w:rsid w:val="00A43201"/>
    <w:rsid w:val="00A47356"/>
    <w:rsid w:val="00A51B36"/>
    <w:rsid w:val="00A53D4E"/>
    <w:rsid w:val="00A5522D"/>
    <w:rsid w:val="00A55665"/>
    <w:rsid w:val="00A604B5"/>
    <w:rsid w:val="00A64EB1"/>
    <w:rsid w:val="00A667C8"/>
    <w:rsid w:val="00A742F6"/>
    <w:rsid w:val="00A75FE9"/>
    <w:rsid w:val="00A86C00"/>
    <w:rsid w:val="00AA022E"/>
    <w:rsid w:val="00AA1EB0"/>
    <w:rsid w:val="00AA4060"/>
    <w:rsid w:val="00AA4785"/>
    <w:rsid w:val="00AA4F0E"/>
    <w:rsid w:val="00AB0AA8"/>
    <w:rsid w:val="00AC4ACD"/>
    <w:rsid w:val="00AD04C3"/>
    <w:rsid w:val="00AD1534"/>
    <w:rsid w:val="00AD1ECD"/>
    <w:rsid w:val="00AD6542"/>
    <w:rsid w:val="00AE5E41"/>
    <w:rsid w:val="00AF0658"/>
    <w:rsid w:val="00AF14E8"/>
    <w:rsid w:val="00AF6350"/>
    <w:rsid w:val="00B01923"/>
    <w:rsid w:val="00B019FA"/>
    <w:rsid w:val="00B02396"/>
    <w:rsid w:val="00B0523B"/>
    <w:rsid w:val="00B07317"/>
    <w:rsid w:val="00B21DC8"/>
    <w:rsid w:val="00B22191"/>
    <w:rsid w:val="00B2451E"/>
    <w:rsid w:val="00B247E3"/>
    <w:rsid w:val="00B275A9"/>
    <w:rsid w:val="00B35498"/>
    <w:rsid w:val="00B37C66"/>
    <w:rsid w:val="00B42984"/>
    <w:rsid w:val="00B44A05"/>
    <w:rsid w:val="00B4505A"/>
    <w:rsid w:val="00B4565B"/>
    <w:rsid w:val="00B4755D"/>
    <w:rsid w:val="00B50F7A"/>
    <w:rsid w:val="00B70D73"/>
    <w:rsid w:val="00B76791"/>
    <w:rsid w:val="00B848ED"/>
    <w:rsid w:val="00B8558E"/>
    <w:rsid w:val="00B94616"/>
    <w:rsid w:val="00B96FC5"/>
    <w:rsid w:val="00BA0EEF"/>
    <w:rsid w:val="00BA1983"/>
    <w:rsid w:val="00BA3225"/>
    <w:rsid w:val="00BA35E8"/>
    <w:rsid w:val="00BA3FE1"/>
    <w:rsid w:val="00BB0244"/>
    <w:rsid w:val="00BC0279"/>
    <w:rsid w:val="00BD30A0"/>
    <w:rsid w:val="00BD51F2"/>
    <w:rsid w:val="00BE4894"/>
    <w:rsid w:val="00BE6249"/>
    <w:rsid w:val="00BF0C8E"/>
    <w:rsid w:val="00BF25E7"/>
    <w:rsid w:val="00BF59FF"/>
    <w:rsid w:val="00BF5E73"/>
    <w:rsid w:val="00C0516B"/>
    <w:rsid w:val="00C10FCA"/>
    <w:rsid w:val="00C116AC"/>
    <w:rsid w:val="00C254A0"/>
    <w:rsid w:val="00C35928"/>
    <w:rsid w:val="00C36352"/>
    <w:rsid w:val="00C40560"/>
    <w:rsid w:val="00C44563"/>
    <w:rsid w:val="00C4501F"/>
    <w:rsid w:val="00C45B42"/>
    <w:rsid w:val="00C45D09"/>
    <w:rsid w:val="00C46153"/>
    <w:rsid w:val="00C47BF9"/>
    <w:rsid w:val="00C50CE0"/>
    <w:rsid w:val="00C54EE9"/>
    <w:rsid w:val="00C553CB"/>
    <w:rsid w:val="00C57F29"/>
    <w:rsid w:val="00C60F77"/>
    <w:rsid w:val="00C6162E"/>
    <w:rsid w:val="00C63E3B"/>
    <w:rsid w:val="00C64C48"/>
    <w:rsid w:val="00C663D3"/>
    <w:rsid w:val="00C666D1"/>
    <w:rsid w:val="00C821A6"/>
    <w:rsid w:val="00C8408D"/>
    <w:rsid w:val="00C91518"/>
    <w:rsid w:val="00C916E6"/>
    <w:rsid w:val="00C9561C"/>
    <w:rsid w:val="00CA4B63"/>
    <w:rsid w:val="00CB46F9"/>
    <w:rsid w:val="00CC2ACE"/>
    <w:rsid w:val="00CC4515"/>
    <w:rsid w:val="00CC46DC"/>
    <w:rsid w:val="00CC50FF"/>
    <w:rsid w:val="00CC5894"/>
    <w:rsid w:val="00CE0309"/>
    <w:rsid w:val="00CE0CBB"/>
    <w:rsid w:val="00D02482"/>
    <w:rsid w:val="00D2044F"/>
    <w:rsid w:val="00D20AD6"/>
    <w:rsid w:val="00D21AB2"/>
    <w:rsid w:val="00D24131"/>
    <w:rsid w:val="00D25077"/>
    <w:rsid w:val="00D25469"/>
    <w:rsid w:val="00D3112B"/>
    <w:rsid w:val="00D3197D"/>
    <w:rsid w:val="00D3383B"/>
    <w:rsid w:val="00D33EDF"/>
    <w:rsid w:val="00D3447D"/>
    <w:rsid w:val="00D44C20"/>
    <w:rsid w:val="00D45E55"/>
    <w:rsid w:val="00D4695E"/>
    <w:rsid w:val="00D56BE8"/>
    <w:rsid w:val="00D64E0A"/>
    <w:rsid w:val="00D66036"/>
    <w:rsid w:val="00D705A0"/>
    <w:rsid w:val="00D7777A"/>
    <w:rsid w:val="00D84897"/>
    <w:rsid w:val="00D86CD1"/>
    <w:rsid w:val="00D87F15"/>
    <w:rsid w:val="00D96A33"/>
    <w:rsid w:val="00DA6314"/>
    <w:rsid w:val="00DA6E6A"/>
    <w:rsid w:val="00DA715E"/>
    <w:rsid w:val="00DA7BD4"/>
    <w:rsid w:val="00DB6BEC"/>
    <w:rsid w:val="00DC2BDA"/>
    <w:rsid w:val="00DD150A"/>
    <w:rsid w:val="00DD36A2"/>
    <w:rsid w:val="00DE322B"/>
    <w:rsid w:val="00DE7593"/>
    <w:rsid w:val="00DF0CA9"/>
    <w:rsid w:val="00DF0CDF"/>
    <w:rsid w:val="00DF1E6A"/>
    <w:rsid w:val="00DF59D4"/>
    <w:rsid w:val="00E053D2"/>
    <w:rsid w:val="00E1681F"/>
    <w:rsid w:val="00E20A6C"/>
    <w:rsid w:val="00E261F6"/>
    <w:rsid w:val="00E270D0"/>
    <w:rsid w:val="00E57EF2"/>
    <w:rsid w:val="00E60764"/>
    <w:rsid w:val="00E6114D"/>
    <w:rsid w:val="00E80F32"/>
    <w:rsid w:val="00E83219"/>
    <w:rsid w:val="00E92305"/>
    <w:rsid w:val="00E97A7E"/>
    <w:rsid w:val="00EA0062"/>
    <w:rsid w:val="00EA0085"/>
    <w:rsid w:val="00EA0E7A"/>
    <w:rsid w:val="00EA5A9D"/>
    <w:rsid w:val="00EB38D2"/>
    <w:rsid w:val="00EB4B83"/>
    <w:rsid w:val="00EB5B4E"/>
    <w:rsid w:val="00ED13AA"/>
    <w:rsid w:val="00EF5C88"/>
    <w:rsid w:val="00EF65BB"/>
    <w:rsid w:val="00EF78F4"/>
    <w:rsid w:val="00EF7AC2"/>
    <w:rsid w:val="00F11206"/>
    <w:rsid w:val="00F14709"/>
    <w:rsid w:val="00F2135B"/>
    <w:rsid w:val="00F213C7"/>
    <w:rsid w:val="00F34F87"/>
    <w:rsid w:val="00F3604A"/>
    <w:rsid w:val="00F721DB"/>
    <w:rsid w:val="00F72F2E"/>
    <w:rsid w:val="00F9081D"/>
    <w:rsid w:val="00FA1873"/>
    <w:rsid w:val="00FA771F"/>
    <w:rsid w:val="00FD2F43"/>
    <w:rsid w:val="00FD40B3"/>
    <w:rsid w:val="00FD5155"/>
    <w:rsid w:val="00FE0B02"/>
    <w:rsid w:val="00FF3760"/>
    <w:rsid w:val="00FF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99F8"/>
  <w15:docId w15:val="{6B31EF59-C8E8-4956-8690-46F50103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29"/>
  </w:style>
  <w:style w:type="paragraph" w:styleId="Heading1">
    <w:name w:val="heading 1"/>
    <w:basedOn w:val="Normal"/>
    <w:next w:val="Normal"/>
    <w:link w:val="Heading1Char"/>
    <w:uiPriority w:val="9"/>
    <w:qFormat/>
    <w:rsid w:val="00C57F2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C57F2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C57F2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C57F2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C57F2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C57F2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C57F2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C57F2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C57F2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5413"/>
    <w:rPr>
      <w:sz w:val="16"/>
      <w:szCs w:val="16"/>
    </w:rPr>
  </w:style>
  <w:style w:type="paragraph" w:styleId="CommentText">
    <w:name w:val="annotation text"/>
    <w:basedOn w:val="Normal"/>
    <w:link w:val="CommentTextChar"/>
    <w:uiPriority w:val="99"/>
    <w:unhideWhenUsed/>
    <w:rsid w:val="00245413"/>
    <w:pPr>
      <w:spacing w:line="240" w:lineRule="auto"/>
    </w:pPr>
    <w:rPr>
      <w:sz w:val="20"/>
      <w:szCs w:val="20"/>
    </w:rPr>
  </w:style>
  <w:style w:type="character" w:customStyle="1" w:styleId="CommentTextChar">
    <w:name w:val="Comment Text Char"/>
    <w:basedOn w:val="DefaultParagraphFont"/>
    <w:link w:val="CommentText"/>
    <w:uiPriority w:val="99"/>
    <w:rsid w:val="00245413"/>
    <w:rPr>
      <w:sz w:val="20"/>
      <w:szCs w:val="20"/>
      <w:lang w:val="en-GB"/>
    </w:rPr>
  </w:style>
  <w:style w:type="paragraph" w:styleId="CommentSubject">
    <w:name w:val="annotation subject"/>
    <w:basedOn w:val="CommentText"/>
    <w:next w:val="CommentText"/>
    <w:link w:val="CommentSubjectChar"/>
    <w:uiPriority w:val="99"/>
    <w:semiHidden/>
    <w:unhideWhenUsed/>
    <w:rsid w:val="00245413"/>
    <w:rPr>
      <w:b/>
      <w:bCs/>
    </w:rPr>
  </w:style>
  <w:style w:type="character" w:customStyle="1" w:styleId="CommentSubjectChar">
    <w:name w:val="Comment Subject Char"/>
    <w:basedOn w:val="CommentTextChar"/>
    <w:link w:val="CommentSubject"/>
    <w:uiPriority w:val="99"/>
    <w:semiHidden/>
    <w:rsid w:val="00245413"/>
    <w:rPr>
      <w:b/>
      <w:bCs/>
      <w:sz w:val="20"/>
      <w:szCs w:val="20"/>
      <w:lang w:val="en-GB"/>
    </w:rPr>
  </w:style>
  <w:style w:type="paragraph" w:styleId="BalloonText">
    <w:name w:val="Balloon Text"/>
    <w:basedOn w:val="Normal"/>
    <w:link w:val="BalloonTextChar"/>
    <w:uiPriority w:val="99"/>
    <w:semiHidden/>
    <w:unhideWhenUsed/>
    <w:rsid w:val="00245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13"/>
    <w:rPr>
      <w:rFonts w:ascii="Segoe UI" w:hAnsi="Segoe UI" w:cs="Segoe UI"/>
      <w:sz w:val="18"/>
      <w:szCs w:val="18"/>
      <w:lang w:val="en-GB"/>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80549C"/>
    <w:pPr>
      <w:ind w:left="720"/>
      <w:contextualSpacing/>
    </w:p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locked/>
    <w:rsid w:val="0080549C"/>
  </w:style>
  <w:style w:type="paragraph" w:styleId="FootnoteText">
    <w:name w:val="footnote text"/>
    <w:basedOn w:val="Normal"/>
    <w:link w:val="FootnoteTextChar"/>
    <w:unhideWhenUsed/>
    <w:rsid w:val="00D3197D"/>
    <w:pPr>
      <w:spacing w:after="0" w:line="240" w:lineRule="auto"/>
    </w:pPr>
    <w:rPr>
      <w:sz w:val="20"/>
      <w:szCs w:val="20"/>
    </w:rPr>
  </w:style>
  <w:style w:type="character" w:customStyle="1" w:styleId="FootnoteTextChar">
    <w:name w:val="Footnote Text Char"/>
    <w:basedOn w:val="DefaultParagraphFont"/>
    <w:link w:val="FootnoteText"/>
    <w:rsid w:val="00D3197D"/>
    <w:rPr>
      <w:sz w:val="20"/>
      <w:szCs w:val="20"/>
      <w:lang w:val="en-GB"/>
    </w:rPr>
  </w:style>
  <w:style w:type="character" w:styleId="Hyperlink">
    <w:name w:val="Hyperlink"/>
    <w:basedOn w:val="DefaultParagraphFont"/>
    <w:uiPriority w:val="99"/>
    <w:rsid w:val="00D3197D"/>
    <w:rPr>
      <w:color w:val="0563C1" w:themeColor="hyperlink"/>
      <w:u w:val="single"/>
    </w:rPr>
  </w:style>
  <w:style w:type="character" w:styleId="FootnoteReference">
    <w:name w:val="footnote reference"/>
    <w:basedOn w:val="DefaultParagraphFont"/>
    <w:rsid w:val="00D3197D"/>
    <w:rPr>
      <w:vertAlign w:val="superscript"/>
    </w:rPr>
  </w:style>
  <w:style w:type="table" w:styleId="TableGrid">
    <w:name w:val="Table Grid"/>
    <w:basedOn w:val="TableNormal"/>
    <w:uiPriority w:val="39"/>
    <w:rsid w:val="00195E8E"/>
    <w:pPr>
      <w:spacing w:after="120" w:line="30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7AC2"/>
    <w:pPr>
      <w:spacing w:after="0" w:line="240" w:lineRule="auto"/>
    </w:pPr>
    <w:rPr>
      <w:lang w:val="en-GB"/>
    </w:rPr>
  </w:style>
  <w:style w:type="paragraph" w:styleId="Header">
    <w:name w:val="header"/>
    <w:basedOn w:val="Normal"/>
    <w:link w:val="HeaderChar"/>
    <w:uiPriority w:val="99"/>
    <w:unhideWhenUsed/>
    <w:rsid w:val="00344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5B3"/>
    <w:rPr>
      <w:lang w:val="en-GB"/>
    </w:rPr>
  </w:style>
  <w:style w:type="paragraph" w:styleId="Footer">
    <w:name w:val="footer"/>
    <w:basedOn w:val="Normal"/>
    <w:link w:val="FooterChar"/>
    <w:uiPriority w:val="99"/>
    <w:unhideWhenUsed/>
    <w:rsid w:val="00344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5B3"/>
    <w:rPr>
      <w:lang w:val="en-GB"/>
    </w:rPr>
  </w:style>
  <w:style w:type="paragraph" w:customStyle="1" w:styleId="StyleHeading4Right">
    <w:name w:val="Style Heading 4 + Right"/>
    <w:basedOn w:val="Heading4"/>
    <w:rsid w:val="00354C1B"/>
    <w:pPr>
      <w:keepLines w:val="0"/>
      <w:spacing w:before="0" w:line="288" w:lineRule="atLeast"/>
      <w:jc w:val="right"/>
    </w:pPr>
    <w:rPr>
      <w:rFonts w:ascii="Arial" w:eastAsia="Times New Roman" w:hAnsi="Arial" w:cs="Times New Roman"/>
      <w:b/>
      <w:bCs/>
      <w:i/>
      <w:iCs/>
      <w:color w:val="auto"/>
      <w:szCs w:val="20"/>
      <w:lang w:eastAsia="en-GB"/>
    </w:rPr>
  </w:style>
  <w:style w:type="paragraph" w:customStyle="1" w:styleId="Bullet">
    <w:name w:val="Bullet"/>
    <w:basedOn w:val="Normal"/>
    <w:rsid w:val="00354C1B"/>
    <w:pPr>
      <w:numPr>
        <w:numId w:val="18"/>
      </w:numPr>
      <w:tabs>
        <w:tab w:val="num" w:pos="1080"/>
      </w:tabs>
      <w:spacing w:after="0" w:line="300" w:lineRule="atLeast"/>
      <w:ind w:left="1080" w:hanging="720"/>
    </w:pPr>
    <w:rPr>
      <w:rFonts w:ascii="Arial" w:eastAsia="Times New Roman" w:hAnsi="Arial" w:cs="Times New Roman"/>
      <w:b/>
      <w:lang w:eastAsia="en-GB"/>
    </w:rPr>
  </w:style>
  <w:style w:type="character" w:customStyle="1" w:styleId="Heading4Char">
    <w:name w:val="Heading 4 Char"/>
    <w:basedOn w:val="DefaultParagraphFont"/>
    <w:link w:val="Heading4"/>
    <w:uiPriority w:val="9"/>
    <w:rsid w:val="00C57F29"/>
    <w:rPr>
      <w:rFonts w:asciiTheme="majorHAnsi" w:eastAsiaTheme="majorEastAsia" w:hAnsiTheme="majorHAnsi" w:cstheme="majorBidi"/>
      <w:color w:val="70AD47" w:themeColor="accent6"/>
      <w:sz w:val="22"/>
      <w:szCs w:val="22"/>
    </w:rPr>
  </w:style>
  <w:style w:type="paragraph" w:customStyle="1" w:styleId="BodyText">
    <w:name w:val="BodyText"/>
    <w:basedOn w:val="Normal"/>
    <w:link w:val="BodyTextChar"/>
    <w:rsid w:val="005B5A01"/>
    <w:pPr>
      <w:jc w:val="both"/>
    </w:pPr>
    <w:rPr>
      <w:rFonts w:ascii="Arial" w:eastAsia="MS PGothic" w:hAnsi="Arial" w:cs="Times New Roman"/>
    </w:rPr>
  </w:style>
  <w:style w:type="character" w:customStyle="1" w:styleId="BodyTextChar">
    <w:name w:val="BodyText Char"/>
    <w:link w:val="BodyText"/>
    <w:rsid w:val="005B5A01"/>
    <w:rPr>
      <w:rFonts w:ascii="Arial" w:eastAsia="MS PGothic" w:hAnsi="Arial" w:cs="Times New Roman"/>
      <w:lang w:val="en-GB"/>
    </w:rPr>
  </w:style>
  <w:style w:type="paragraph" w:styleId="NormalWeb">
    <w:name w:val="Normal (Web)"/>
    <w:basedOn w:val="Normal"/>
    <w:uiPriority w:val="99"/>
    <w:unhideWhenUsed/>
    <w:rsid w:val="005B5A01"/>
    <w:pPr>
      <w:spacing w:before="100" w:beforeAutospacing="1" w:after="100" w:afterAutospacing="1" w:line="400" w:lineRule="atLeas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A3FE1"/>
    <w:rPr>
      <w:color w:val="954F72" w:themeColor="followedHyperlink"/>
      <w:u w:val="single"/>
    </w:rPr>
  </w:style>
  <w:style w:type="character" w:customStyle="1" w:styleId="Heading1Char">
    <w:name w:val="Heading 1 Char"/>
    <w:basedOn w:val="DefaultParagraphFont"/>
    <w:link w:val="Heading1"/>
    <w:uiPriority w:val="9"/>
    <w:rsid w:val="00C57F29"/>
    <w:rPr>
      <w:rFonts w:asciiTheme="majorHAnsi" w:eastAsiaTheme="majorEastAsia" w:hAnsiTheme="majorHAnsi" w:cstheme="majorBidi"/>
      <w:color w:val="538135" w:themeColor="accent6" w:themeShade="BF"/>
      <w:sz w:val="40"/>
      <w:szCs w:val="40"/>
    </w:rPr>
  </w:style>
  <w:style w:type="paragraph" w:styleId="TOCHeading">
    <w:name w:val="TOC Heading"/>
    <w:basedOn w:val="Heading1"/>
    <w:next w:val="Normal"/>
    <w:uiPriority w:val="39"/>
    <w:unhideWhenUsed/>
    <w:qFormat/>
    <w:rsid w:val="00C57F29"/>
    <w:pPr>
      <w:outlineLvl w:val="9"/>
    </w:pPr>
  </w:style>
  <w:style w:type="character" w:customStyle="1" w:styleId="Heading2Char">
    <w:name w:val="Heading 2 Char"/>
    <w:basedOn w:val="DefaultParagraphFont"/>
    <w:link w:val="Heading2"/>
    <w:uiPriority w:val="9"/>
    <w:semiHidden/>
    <w:rsid w:val="00C57F2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C57F29"/>
    <w:rPr>
      <w:rFonts w:asciiTheme="majorHAnsi" w:eastAsiaTheme="majorEastAsia" w:hAnsiTheme="majorHAnsi" w:cstheme="majorBidi"/>
      <w:color w:val="538135" w:themeColor="accent6" w:themeShade="BF"/>
      <w:sz w:val="24"/>
      <w:szCs w:val="24"/>
    </w:rPr>
  </w:style>
  <w:style w:type="paragraph" w:styleId="TOC1">
    <w:name w:val="toc 1"/>
    <w:basedOn w:val="Normal"/>
    <w:next w:val="Normal"/>
    <w:autoRedefine/>
    <w:uiPriority w:val="39"/>
    <w:unhideWhenUsed/>
    <w:rsid w:val="00C57F29"/>
    <w:pPr>
      <w:tabs>
        <w:tab w:val="right" w:leader="dot" w:pos="9350"/>
      </w:tabs>
      <w:spacing w:after="100"/>
    </w:pPr>
    <w:rPr>
      <w:rFonts w:ascii="Arial" w:hAnsi="Arial" w:cs="Arial"/>
      <w:b/>
      <w:noProof/>
      <w:sz w:val="22"/>
      <w:szCs w:val="22"/>
    </w:rPr>
  </w:style>
  <w:style w:type="paragraph" w:styleId="TOC2">
    <w:name w:val="toc 2"/>
    <w:basedOn w:val="Normal"/>
    <w:next w:val="Normal"/>
    <w:autoRedefine/>
    <w:uiPriority w:val="39"/>
    <w:unhideWhenUsed/>
    <w:rsid w:val="00091178"/>
    <w:pPr>
      <w:spacing w:after="100"/>
      <w:ind w:left="220"/>
    </w:pPr>
    <w:rPr>
      <w:rFonts w:ascii="Arial" w:hAnsi="Arial"/>
    </w:rPr>
  </w:style>
  <w:style w:type="paragraph" w:styleId="TOC3">
    <w:name w:val="toc 3"/>
    <w:basedOn w:val="Normal"/>
    <w:next w:val="Normal"/>
    <w:autoRedefine/>
    <w:uiPriority w:val="39"/>
    <w:unhideWhenUsed/>
    <w:rsid w:val="00091178"/>
    <w:pPr>
      <w:spacing w:after="100"/>
      <w:ind w:left="440"/>
    </w:pPr>
    <w:rPr>
      <w:rFonts w:ascii="Arial" w:hAnsi="Arial"/>
      <w:sz w:val="20"/>
    </w:rPr>
  </w:style>
  <w:style w:type="character" w:customStyle="1" w:styleId="Heading5Char">
    <w:name w:val="Heading 5 Char"/>
    <w:basedOn w:val="DefaultParagraphFont"/>
    <w:link w:val="Heading5"/>
    <w:uiPriority w:val="9"/>
    <w:semiHidden/>
    <w:rsid w:val="00C57F2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C57F2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C57F2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C57F2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C57F2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C57F29"/>
    <w:pPr>
      <w:spacing w:line="240" w:lineRule="auto"/>
    </w:pPr>
    <w:rPr>
      <w:b/>
      <w:bCs/>
      <w:smallCaps/>
      <w:color w:val="595959" w:themeColor="text1" w:themeTint="A6"/>
    </w:rPr>
  </w:style>
  <w:style w:type="paragraph" w:styleId="Title">
    <w:name w:val="Title"/>
    <w:basedOn w:val="Normal"/>
    <w:next w:val="Normal"/>
    <w:link w:val="TitleChar"/>
    <w:uiPriority w:val="10"/>
    <w:qFormat/>
    <w:rsid w:val="00C57F2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57F2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57F2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57F29"/>
    <w:rPr>
      <w:rFonts w:asciiTheme="majorHAnsi" w:eastAsiaTheme="majorEastAsia" w:hAnsiTheme="majorHAnsi" w:cstheme="majorBidi"/>
      <w:sz w:val="30"/>
      <w:szCs w:val="30"/>
    </w:rPr>
  </w:style>
  <w:style w:type="character" w:styleId="Strong">
    <w:name w:val="Strong"/>
    <w:basedOn w:val="DefaultParagraphFont"/>
    <w:uiPriority w:val="22"/>
    <w:qFormat/>
    <w:rsid w:val="00C57F29"/>
    <w:rPr>
      <w:b/>
      <w:bCs/>
    </w:rPr>
  </w:style>
  <w:style w:type="character" w:styleId="Emphasis">
    <w:name w:val="Emphasis"/>
    <w:basedOn w:val="DefaultParagraphFont"/>
    <w:uiPriority w:val="20"/>
    <w:qFormat/>
    <w:rsid w:val="00C57F29"/>
    <w:rPr>
      <w:i/>
      <w:iCs/>
      <w:color w:val="70AD47" w:themeColor="accent6"/>
    </w:rPr>
  </w:style>
  <w:style w:type="paragraph" w:styleId="NoSpacing">
    <w:name w:val="No Spacing"/>
    <w:uiPriority w:val="1"/>
    <w:qFormat/>
    <w:rsid w:val="00C57F29"/>
    <w:pPr>
      <w:spacing w:after="0" w:line="240" w:lineRule="auto"/>
    </w:pPr>
  </w:style>
  <w:style w:type="paragraph" w:styleId="Quote">
    <w:name w:val="Quote"/>
    <w:basedOn w:val="Normal"/>
    <w:next w:val="Normal"/>
    <w:link w:val="QuoteChar"/>
    <w:uiPriority w:val="29"/>
    <w:qFormat/>
    <w:rsid w:val="00C57F2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57F29"/>
    <w:rPr>
      <w:i/>
      <w:iCs/>
      <w:color w:val="262626" w:themeColor="text1" w:themeTint="D9"/>
    </w:rPr>
  </w:style>
  <w:style w:type="paragraph" w:styleId="IntenseQuote">
    <w:name w:val="Intense Quote"/>
    <w:basedOn w:val="Normal"/>
    <w:next w:val="Normal"/>
    <w:link w:val="IntenseQuoteChar"/>
    <w:uiPriority w:val="30"/>
    <w:qFormat/>
    <w:rsid w:val="00C57F2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57F2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C57F29"/>
    <w:rPr>
      <w:i/>
      <w:iCs/>
    </w:rPr>
  </w:style>
  <w:style w:type="character" w:styleId="IntenseEmphasis">
    <w:name w:val="Intense Emphasis"/>
    <w:basedOn w:val="DefaultParagraphFont"/>
    <w:uiPriority w:val="21"/>
    <w:qFormat/>
    <w:rsid w:val="00C57F29"/>
    <w:rPr>
      <w:b/>
      <w:bCs/>
      <w:i/>
      <w:iCs/>
    </w:rPr>
  </w:style>
  <w:style w:type="character" w:styleId="SubtleReference">
    <w:name w:val="Subtle Reference"/>
    <w:basedOn w:val="DefaultParagraphFont"/>
    <w:uiPriority w:val="31"/>
    <w:qFormat/>
    <w:rsid w:val="00C57F29"/>
    <w:rPr>
      <w:smallCaps/>
      <w:color w:val="595959" w:themeColor="text1" w:themeTint="A6"/>
    </w:rPr>
  </w:style>
  <w:style w:type="character" w:styleId="IntenseReference">
    <w:name w:val="Intense Reference"/>
    <w:basedOn w:val="DefaultParagraphFont"/>
    <w:uiPriority w:val="32"/>
    <w:qFormat/>
    <w:rsid w:val="00C57F29"/>
    <w:rPr>
      <w:b/>
      <w:bCs/>
      <w:smallCaps/>
      <w:color w:val="70AD47" w:themeColor="accent6"/>
    </w:rPr>
  </w:style>
  <w:style w:type="character" w:styleId="BookTitle">
    <w:name w:val="Book Title"/>
    <w:basedOn w:val="DefaultParagraphFont"/>
    <w:uiPriority w:val="33"/>
    <w:qFormat/>
    <w:rsid w:val="00C57F29"/>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525">
      <w:bodyDiv w:val="1"/>
      <w:marLeft w:val="0"/>
      <w:marRight w:val="0"/>
      <w:marTop w:val="0"/>
      <w:marBottom w:val="0"/>
      <w:divBdr>
        <w:top w:val="none" w:sz="0" w:space="0" w:color="auto"/>
        <w:left w:val="none" w:sz="0" w:space="0" w:color="auto"/>
        <w:bottom w:val="none" w:sz="0" w:space="0" w:color="auto"/>
        <w:right w:val="none" w:sz="0" w:space="0" w:color="auto"/>
      </w:divBdr>
    </w:div>
    <w:div w:id="107091521">
      <w:bodyDiv w:val="1"/>
      <w:marLeft w:val="0"/>
      <w:marRight w:val="0"/>
      <w:marTop w:val="0"/>
      <w:marBottom w:val="0"/>
      <w:divBdr>
        <w:top w:val="none" w:sz="0" w:space="0" w:color="auto"/>
        <w:left w:val="none" w:sz="0" w:space="0" w:color="auto"/>
        <w:bottom w:val="none" w:sz="0" w:space="0" w:color="auto"/>
        <w:right w:val="none" w:sz="0" w:space="0" w:color="auto"/>
      </w:divBdr>
    </w:div>
    <w:div w:id="387609877">
      <w:bodyDiv w:val="1"/>
      <w:marLeft w:val="0"/>
      <w:marRight w:val="0"/>
      <w:marTop w:val="0"/>
      <w:marBottom w:val="0"/>
      <w:divBdr>
        <w:top w:val="none" w:sz="0" w:space="0" w:color="auto"/>
        <w:left w:val="none" w:sz="0" w:space="0" w:color="auto"/>
        <w:bottom w:val="none" w:sz="0" w:space="0" w:color="auto"/>
        <w:right w:val="none" w:sz="0" w:space="0" w:color="auto"/>
      </w:divBdr>
    </w:div>
    <w:div w:id="410127761">
      <w:bodyDiv w:val="1"/>
      <w:marLeft w:val="0"/>
      <w:marRight w:val="0"/>
      <w:marTop w:val="0"/>
      <w:marBottom w:val="0"/>
      <w:divBdr>
        <w:top w:val="none" w:sz="0" w:space="0" w:color="auto"/>
        <w:left w:val="none" w:sz="0" w:space="0" w:color="auto"/>
        <w:bottom w:val="none" w:sz="0" w:space="0" w:color="auto"/>
        <w:right w:val="none" w:sz="0" w:space="0" w:color="auto"/>
      </w:divBdr>
    </w:div>
    <w:div w:id="860510455">
      <w:bodyDiv w:val="1"/>
      <w:marLeft w:val="0"/>
      <w:marRight w:val="0"/>
      <w:marTop w:val="0"/>
      <w:marBottom w:val="0"/>
      <w:divBdr>
        <w:top w:val="none" w:sz="0" w:space="0" w:color="auto"/>
        <w:left w:val="none" w:sz="0" w:space="0" w:color="auto"/>
        <w:bottom w:val="none" w:sz="0" w:space="0" w:color="auto"/>
        <w:right w:val="none" w:sz="0" w:space="0" w:color="auto"/>
      </w:divBdr>
    </w:div>
    <w:div w:id="1588686351">
      <w:bodyDiv w:val="1"/>
      <w:marLeft w:val="0"/>
      <w:marRight w:val="0"/>
      <w:marTop w:val="0"/>
      <w:marBottom w:val="0"/>
      <w:divBdr>
        <w:top w:val="none" w:sz="0" w:space="0" w:color="auto"/>
        <w:left w:val="none" w:sz="0" w:space="0" w:color="auto"/>
        <w:bottom w:val="none" w:sz="0" w:space="0" w:color="auto"/>
        <w:right w:val="none" w:sz="0" w:space="0" w:color="auto"/>
      </w:divBdr>
    </w:div>
    <w:div w:id="1643776534">
      <w:bodyDiv w:val="1"/>
      <w:marLeft w:val="0"/>
      <w:marRight w:val="0"/>
      <w:marTop w:val="0"/>
      <w:marBottom w:val="0"/>
      <w:divBdr>
        <w:top w:val="none" w:sz="0" w:space="0" w:color="auto"/>
        <w:left w:val="none" w:sz="0" w:space="0" w:color="auto"/>
        <w:bottom w:val="none" w:sz="0" w:space="0" w:color="auto"/>
        <w:right w:val="none" w:sz="0" w:space="0" w:color="auto"/>
      </w:divBdr>
    </w:div>
    <w:div w:id="20736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ref.ac.uk/publications/2017/consultationonthesecondresearchexcellenceframeworksummaryofresponses.html" TargetMode="External"/><Relationship Id="rId13" Type="http://schemas.openxmlformats.org/officeDocument/2006/relationships/hyperlink" Target="http://www.ref.ac.uk/publications/consultation-on-the-panel-criteria-and-working-methods-201802/" TargetMode="External"/><Relationship Id="rId3" Type="http://schemas.openxmlformats.org/officeDocument/2006/relationships/hyperlink" Target="https://www.ref.ac.uk/2014/results/analysis/outputprofilesanddiversity/" TargetMode="External"/><Relationship Id="rId7" Type="http://schemas.openxmlformats.org/officeDocument/2006/relationships/hyperlink" Target="https://www.gov.uk/government/publications/research-excellence-framework-review" TargetMode="External"/><Relationship Id="rId12" Type="http://schemas.openxmlformats.org/officeDocument/2006/relationships/hyperlink" Target="http://www.ref.ac.uk/publications/draft-guidance-on-submissions-201801/" TargetMode="External"/><Relationship Id="rId2" Type="http://schemas.openxmlformats.org/officeDocument/2006/relationships/hyperlink" Target="https://re.ukri.org/documents/hefce-documents/idr-ap-recruitment/" TargetMode="External"/><Relationship Id="rId1" Type="http://schemas.openxmlformats.org/officeDocument/2006/relationships/hyperlink" Target="https://www.gov.uk/government/publications/research-excellence-framework-review" TargetMode="External"/><Relationship Id="rId6" Type="http://schemas.openxmlformats.org/officeDocument/2006/relationships/hyperlink" Target="http://www.hefce.ac.uk/pubs/rereports/year/2015/interdisc/" TargetMode="External"/><Relationship Id="rId11" Type="http://schemas.openxmlformats.org/officeDocument/2006/relationships/hyperlink" Target="https://www.universitiesuk.ac.uk/policy-and-analysis/research-policy/open-science/The%20Forum%20for%20Responsible%20Research%20Metrics/FFRRM%20advice%20to%20REF2021%20panels%20on%20impact%20and%20environment%20indicators%2026July2018.pdf" TargetMode="External"/><Relationship Id="rId5" Type="http://schemas.openxmlformats.org/officeDocument/2006/relationships/hyperlink" Target="https://re.ukri.org/news-events-publications/publications/metric-tide/" TargetMode="External"/><Relationship Id="rId15" Type="http://schemas.openxmlformats.org/officeDocument/2006/relationships/hyperlink" Target="http://www.hefce.ac.uk/pubs/rereports/year/2016/interdis/" TargetMode="External"/><Relationship Id="rId10" Type="http://schemas.openxmlformats.org/officeDocument/2006/relationships/hyperlink" Target="http://www.ref.ac.uk/publications/2017/rolesandrecruitmentoftheexpertpanels.html" TargetMode="External"/><Relationship Id="rId4" Type="http://schemas.openxmlformats.org/officeDocument/2006/relationships/hyperlink" Target="https://www.kcl.ac.uk/sspp/policy-institute/publications/Analysis-of-REF-impact.pdf" TargetMode="External"/><Relationship Id="rId9" Type="http://schemas.openxmlformats.org/officeDocument/2006/relationships/hyperlink" Target="http://www.ref.ac.uk/publications/2017/initialdecisionsontheresearchexcellenceframework2021.html" TargetMode="External"/><Relationship Id="rId14" Type="http://schemas.openxmlformats.org/officeDocument/2006/relationships/hyperlink" Target="http://www.hefce.ac.uk/media/HEFCE,2014/Content/Pubs/Independentresearch/2015/Review,of,the,UKs,interdisciplinary,research/2015_interdis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BE9745-C28C-4270-B08A-FA9AC15653E4}">
  <ds:schemaRefs>
    <ds:schemaRef ds:uri="http://schemas.openxmlformats.org/officeDocument/2006/bibliography"/>
  </ds:schemaRefs>
</ds:datastoreItem>
</file>

<file path=customXml/itemProps2.xml><?xml version="1.0" encoding="utf-8"?>
<ds:datastoreItem xmlns:ds="http://schemas.openxmlformats.org/officeDocument/2006/customXml" ds:itemID="{B7A6607B-9FF4-4EF6-A490-11FB6D6A51C2}"/>
</file>

<file path=customXml/itemProps3.xml><?xml version="1.0" encoding="utf-8"?>
<ds:datastoreItem xmlns:ds="http://schemas.openxmlformats.org/officeDocument/2006/customXml" ds:itemID="{C1C4081C-BFD7-450B-89E4-580628E504A5}"/>
</file>

<file path=customXml/itemProps4.xml><?xml version="1.0" encoding="utf-8"?>
<ds:datastoreItem xmlns:ds="http://schemas.openxmlformats.org/officeDocument/2006/customXml" ds:itemID="{727B39E2-1CA9-42D6-86CD-1A7C30B6FEB0}"/>
</file>

<file path=docProps/app.xml><?xml version="1.0" encoding="utf-8"?>
<Properties xmlns="http://schemas.openxmlformats.org/officeDocument/2006/extended-properties" xmlns:vt="http://schemas.openxmlformats.org/officeDocument/2006/docPropsVTypes">
  <Template>Normal</Template>
  <TotalTime>1</TotalTime>
  <Pages>4</Pages>
  <Words>11400</Words>
  <Characters>64985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76233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Furr [7387]</dc:creator>
  <cp:lastModifiedBy>Hannah Daisley [7486]</cp:lastModifiedBy>
  <cp:revision>2</cp:revision>
  <dcterms:created xsi:type="dcterms:W3CDTF">2019-03-19T08:46:00Z</dcterms:created>
  <dcterms:modified xsi:type="dcterms:W3CDTF">2019-03-19T08:46:00Z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