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18635" w14:textId="0EFE03E7" w:rsidR="00397861" w:rsidRDefault="00397861" w:rsidP="00B652DC"/>
    <w:p w14:paraId="22AFF34C" w14:textId="77777777" w:rsidR="00397861" w:rsidRPr="00912F0E" w:rsidRDefault="00397861" w:rsidP="00397861">
      <w:pPr>
        <w:pStyle w:val="Titlepage"/>
        <w:spacing w:after="120"/>
        <w:jc w:val="left"/>
        <w:rPr>
          <w:color w:val="auto"/>
          <w:sz w:val="36"/>
        </w:rPr>
      </w:pPr>
      <w:r>
        <w:rPr>
          <w:color w:val="auto"/>
          <w:sz w:val="36"/>
        </w:rPr>
        <w:t>Index of revisions to the ‘Audit Guidance’ (2019/04)</w:t>
      </w:r>
    </w:p>
    <w:p w14:paraId="5315661A" w14:textId="77777777" w:rsidR="00397861" w:rsidRDefault="00397861" w:rsidP="00397861">
      <w:pPr>
        <w:tabs>
          <w:tab w:val="left" w:pos="3119"/>
        </w:tabs>
        <w:ind w:left="2410" w:hanging="2410"/>
        <w:rPr>
          <w:b/>
          <w:bCs/>
        </w:rPr>
      </w:pPr>
      <w:r>
        <w:rPr>
          <w:b/>
          <w:bCs/>
        </w:rPr>
        <w:t>October</w:t>
      </w:r>
      <w:r w:rsidRPr="00B04D93">
        <w:rPr>
          <w:b/>
          <w:bCs/>
        </w:rPr>
        <w:t xml:space="preserve"> 2020</w:t>
      </w:r>
    </w:p>
    <w:p w14:paraId="76FAD5D3" w14:textId="77777777" w:rsidR="00397861" w:rsidRPr="003210E5" w:rsidRDefault="00397861" w:rsidP="00397861">
      <w:pPr>
        <w:numPr>
          <w:ilvl w:val="0"/>
          <w:numId w:val="14"/>
        </w:numPr>
        <w:tabs>
          <w:tab w:val="num" w:pos="567"/>
        </w:tabs>
        <w:spacing w:line="300" w:lineRule="atLeast"/>
        <w:ind w:left="0" w:firstLine="0"/>
        <w:rPr>
          <w:rFonts w:eastAsia="Times New Roman"/>
          <w:lang w:eastAsia="en-GB"/>
        </w:rPr>
      </w:pPr>
      <w:r w:rsidRPr="003210E5">
        <w:rPr>
          <w:rFonts w:eastAsia="Times New Roman"/>
          <w:lang w:eastAsia="en-GB"/>
        </w:rPr>
        <w:t>In March 2020, the four UK higher education funding bodies put the Research Excellence Framework (REF) on hold in response to the effects of COVID-19. The exercise recommenced on 31 July 2020, with revisions made to the timetable and the guidance to take account of the effects of COVID-19. The changes are described in full in the ‘Guidance on revisions to REF 2021’ (2020/02).</w:t>
      </w:r>
      <w:r>
        <w:rPr>
          <w:rFonts w:eastAsia="Times New Roman"/>
          <w:lang w:eastAsia="en-GB"/>
        </w:rPr>
        <w:t xml:space="preserve"> Paragraphs 85 to 89 of that guidance relate specifically to audit.</w:t>
      </w:r>
    </w:p>
    <w:p w14:paraId="0FE9EC74" w14:textId="77777777" w:rsidR="00397861" w:rsidRDefault="00397861" w:rsidP="00397861">
      <w:pPr>
        <w:spacing w:line="300" w:lineRule="atLeast"/>
        <w:rPr>
          <w:rFonts w:eastAsia="Times New Roman"/>
          <w:lang w:eastAsia="en-GB"/>
        </w:rPr>
      </w:pPr>
    </w:p>
    <w:p w14:paraId="1C20C7BA" w14:textId="77777777" w:rsidR="00397861" w:rsidRDefault="00397861" w:rsidP="00397861">
      <w:pPr>
        <w:numPr>
          <w:ilvl w:val="0"/>
          <w:numId w:val="14"/>
        </w:numPr>
        <w:tabs>
          <w:tab w:val="num" w:pos="567"/>
        </w:tabs>
        <w:spacing w:line="300" w:lineRule="atLeast"/>
        <w:ind w:left="0" w:firstLine="0"/>
        <w:rPr>
          <w:rFonts w:eastAsia="Times New Roman"/>
          <w:lang w:eastAsia="en-GB"/>
        </w:rPr>
      </w:pPr>
      <w:r w:rsidRPr="003210E5">
        <w:rPr>
          <w:rFonts w:eastAsia="Times New Roman"/>
          <w:lang w:eastAsia="en-GB"/>
        </w:rPr>
        <w:t xml:space="preserve">This index </w:t>
      </w:r>
      <w:r>
        <w:rPr>
          <w:rFonts w:eastAsia="Times New Roman"/>
          <w:lang w:eastAsia="en-GB"/>
        </w:rPr>
        <w:t xml:space="preserve">details the </w:t>
      </w:r>
      <w:r w:rsidRPr="003210E5">
        <w:rPr>
          <w:rFonts w:eastAsia="Times New Roman"/>
          <w:lang w:eastAsia="en-GB"/>
        </w:rPr>
        <w:t xml:space="preserve">updates </w:t>
      </w:r>
      <w:r>
        <w:rPr>
          <w:rFonts w:eastAsia="Times New Roman"/>
          <w:lang w:eastAsia="en-GB"/>
        </w:rPr>
        <w:t xml:space="preserve">to </w:t>
      </w:r>
      <w:r w:rsidRPr="003210E5">
        <w:rPr>
          <w:rFonts w:eastAsia="Times New Roman"/>
          <w:lang w:eastAsia="en-GB"/>
        </w:rPr>
        <w:t>the ‘</w:t>
      </w:r>
      <w:r>
        <w:rPr>
          <w:rFonts w:eastAsia="Times New Roman"/>
          <w:lang w:eastAsia="en-GB"/>
        </w:rPr>
        <w:t>Audit guidance</w:t>
      </w:r>
      <w:r w:rsidRPr="003210E5">
        <w:rPr>
          <w:rFonts w:eastAsia="Times New Roman"/>
          <w:lang w:eastAsia="en-GB"/>
        </w:rPr>
        <w:t>’</w:t>
      </w:r>
      <w:r>
        <w:rPr>
          <w:rFonts w:eastAsia="Times New Roman"/>
          <w:lang w:eastAsia="en-GB"/>
        </w:rPr>
        <w:t>,</w:t>
      </w:r>
      <w:r w:rsidRPr="003210E5">
        <w:rPr>
          <w:rFonts w:eastAsia="Times New Roman"/>
          <w:lang w:eastAsia="en-GB"/>
        </w:rPr>
        <w:t xml:space="preserve"> in accordance with the ‘Guidance on revisions to REF 2021’. </w:t>
      </w:r>
      <w:r>
        <w:rPr>
          <w:rFonts w:eastAsia="Times New Roman"/>
          <w:lang w:eastAsia="en-GB"/>
        </w:rPr>
        <w:t>F</w:t>
      </w:r>
      <w:r w:rsidRPr="003210E5">
        <w:rPr>
          <w:rFonts w:eastAsia="Times New Roman"/>
          <w:lang w:eastAsia="en-GB"/>
        </w:rPr>
        <w:t>or each aspect of the original guidance that requires updating, the table below specifies</w:t>
      </w:r>
      <w:r>
        <w:rPr>
          <w:rFonts w:eastAsia="Times New Roman"/>
          <w:lang w:eastAsia="en-GB"/>
        </w:rPr>
        <w:t xml:space="preserve"> (in the left-hand two columns)</w:t>
      </w:r>
      <w:r w:rsidRPr="003210E5">
        <w:rPr>
          <w:rFonts w:eastAsia="Times New Roman"/>
          <w:lang w:eastAsia="en-GB"/>
        </w:rPr>
        <w:t xml:space="preserve"> the paragraph number(s) in the ‘</w:t>
      </w:r>
      <w:r>
        <w:rPr>
          <w:rFonts w:eastAsia="Times New Roman"/>
          <w:lang w:eastAsia="en-GB"/>
        </w:rPr>
        <w:t>Audit guidance’ (AG)</w:t>
      </w:r>
      <w:r w:rsidRPr="003210E5">
        <w:rPr>
          <w:rFonts w:eastAsia="Times New Roman"/>
          <w:lang w:eastAsia="en-GB"/>
        </w:rPr>
        <w:t xml:space="preserve"> and </w:t>
      </w:r>
      <w:r>
        <w:rPr>
          <w:rFonts w:eastAsia="Times New Roman"/>
          <w:lang w:eastAsia="en-GB"/>
        </w:rPr>
        <w:t xml:space="preserve">the </w:t>
      </w:r>
      <w:r w:rsidRPr="003210E5">
        <w:rPr>
          <w:rFonts w:eastAsia="Times New Roman"/>
          <w:lang w:eastAsia="en-GB"/>
        </w:rPr>
        <w:t>relevant extract (or summary) from the paragraph(s)</w:t>
      </w:r>
      <w:r>
        <w:rPr>
          <w:rFonts w:eastAsia="Times New Roman"/>
          <w:lang w:eastAsia="en-GB"/>
        </w:rPr>
        <w:t xml:space="preserve"> that requires an update</w:t>
      </w:r>
      <w:r w:rsidRPr="003210E5">
        <w:rPr>
          <w:rFonts w:eastAsia="Times New Roman"/>
          <w:lang w:eastAsia="en-GB"/>
        </w:rPr>
        <w:t xml:space="preserve">. The </w:t>
      </w:r>
      <w:r>
        <w:rPr>
          <w:rFonts w:eastAsia="Times New Roman"/>
          <w:lang w:eastAsia="en-GB"/>
        </w:rPr>
        <w:t>right-hand two columns</w:t>
      </w:r>
      <w:r w:rsidRPr="003210E5">
        <w:rPr>
          <w:rFonts w:eastAsia="Times New Roman"/>
          <w:lang w:eastAsia="en-GB"/>
        </w:rPr>
        <w:t xml:space="preserve"> then provide the updated guidance (either as a direct extract or summary, or as a corrected statement) from the ‘Guidance on revisions to REF 2021’ (REV), along with the paragraph reference(s) for that document. </w:t>
      </w:r>
    </w:p>
    <w:p w14:paraId="309AFD24" w14:textId="77777777" w:rsidR="00397861" w:rsidRDefault="00397861" w:rsidP="00397861">
      <w:pPr>
        <w:pStyle w:val="ListParagraph"/>
      </w:pPr>
    </w:p>
    <w:p w14:paraId="44EE2E5C" w14:textId="77777777" w:rsidR="00397861" w:rsidRPr="00912F0E" w:rsidRDefault="00397861" w:rsidP="00397861">
      <w:pPr>
        <w:numPr>
          <w:ilvl w:val="0"/>
          <w:numId w:val="14"/>
        </w:numPr>
        <w:tabs>
          <w:tab w:val="num" w:pos="567"/>
        </w:tabs>
        <w:spacing w:line="300" w:lineRule="atLeast"/>
        <w:ind w:left="0" w:firstLine="0"/>
        <w:rPr>
          <w:rFonts w:eastAsia="Times New Roman"/>
          <w:lang w:eastAsia="en-GB"/>
        </w:rPr>
      </w:pPr>
      <w:r w:rsidRPr="00912F0E">
        <w:t>Additional or changed guidance is indicated in bold.</w:t>
      </w:r>
    </w:p>
    <w:p w14:paraId="007568ED" w14:textId="77777777" w:rsidR="00397861" w:rsidRPr="00010A83" w:rsidRDefault="00397861" w:rsidP="00397861">
      <w:pPr>
        <w:jc w:val="center"/>
        <w:rPr>
          <w:color w:val="505160"/>
        </w:rPr>
      </w:pPr>
    </w:p>
    <w:tbl>
      <w:tblPr>
        <w:tblStyle w:val="TableGrid"/>
        <w:tblW w:w="5028"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704"/>
        <w:gridCol w:w="3804"/>
        <w:gridCol w:w="3708"/>
        <w:gridCol w:w="850"/>
      </w:tblGrid>
      <w:tr w:rsidR="00397861" w:rsidRPr="003F5F34" w14:paraId="6DBAD7C9" w14:textId="77777777" w:rsidTr="00397861">
        <w:trPr>
          <w:tblHeader/>
          <w:jc w:val="center"/>
        </w:trPr>
        <w:tc>
          <w:tcPr>
            <w:tcW w:w="2486" w:type="pct"/>
            <w:gridSpan w:val="2"/>
          </w:tcPr>
          <w:p w14:paraId="3346F5FC" w14:textId="77777777" w:rsidR="00397861" w:rsidRPr="003F5F34" w:rsidRDefault="00397861" w:rsidP="00397861">
            <w:pPr>
              <w:jc w:val="center"/>
              <w:rPr>
                <w:b/>
                <w:bCs/>
              </w:rPr>
            </w:pPr>
            <w:r w:rsidRPr="003F5F34">
              <w:rPr>
                <w:b/>
                <w:bCs/>
              </w:rPr>
              <w:t>Original guidance</w:t>
            </w:r>
          </w:p>
        </w:tc>
        <w:tc>
          <w:tcPr>
            <w:tcW w:w="2514" w:type="pct"/>
            <w:gridSpan w:val="2"/>
            <w:vAlign w:val="center"/>
          </w:tcPr>
          <w:p w14:paraId="44578CA1" w14:textId="77777777" w:rsidR="00397861" w:rsidRPr="003F5F34" w:rsidRDefault="00397861" w:rsidP="00397861">
            <w:pPr>
              <w:jc w:val="center"/>
              <w:rPr>
                <w:b/>
                <w:bCs/>
              </w:rPr>
            </w:pPr>
            <w:r w:rsidRPr="003F5F34">
              <w:rPr>
                <w:b/>
                <w:bCs/>
              </w:rPr>
              <w:t>Revised guidance</w:t>
            </w:r>
          </w:p>
        </w:tc>
      </w:tr>
      <w:tr w:rsidR="00397861" w:rsidRPr="003F5F34" w14:paraId="30EC9522" w14:textId="77777777" w:rsidTr="00397861">
        <w:trPr>
          <w:tblHeader/>
          <w:jc w:val="center"/>
        </w:trPr>
        <w:tc>
          <w:tcPr>
            <w:tcW w:w="388" w:type="pct"/>
          </w:tcPr>
          <w:p w14:paraId="33F533B4" w14:textId="77777777" w:rsidR="00397861" w:rsidRPr="003F5F34" w:rsidRDefault="00397861" w:rsidP="00397861">
            <w:pPr>
              <w:jc w:val="center"/>
              <w:rPr>
                <w:b/>
                <w:bCs/>
              </w:rPr>
            </w:pPr>
            <w:r w:rsidRPr="003F5F34">
              <w:rPr>
                <w:b/>
                <w:bCs/>
              </w:rPr>
              <w:t>AG para no.</w:t>
            </w:r>
          </w:p>
        </w:tc>
        <w:tc>
          <w:tcPr>
            <w:tcW w:w="2098" w:type="pct"/>
            <w:vAlign w:val="center"/>
          </w:tcPr>
          <w:p w14:paraId="60CD59A1" w14:textId="77777777" w:rsidR="00397861" w:rsidRPr="003F5F34" w:rsidRDefault="00397861" w:rsidP="00397861">
            <w:pPr>
              <w:jc w:val="center"/>
              <w:rPr>
                <w:b/>
                <w:bCs/>
              </w:rPr>
            </w:pPr>
            <w:r w:rsidRPr="003F5F34">
              <w:rPr>
                <w:b/>
                <w:bCs/>
              </w:rPr>
              <w:t>Audit guidance (2019/04)</w:t>
            </w:r>
          </w:p>
        </w:tc>
        <w:tc>
          <w:tcPr>
            <w:tcW w:w="2045" w:type="pct"/>
            <w:vAlign w:val="center"/>
          </w:tcPr>
          <w:p w14:paraId="40F45C24" w14:textId="77777777" w:rsidR="00397861" w:rsidRPr="003F5F34" w:rsidRDefault="00397861" w:rsidP="00397861">
            <w:pPr>
              <w:jc w:val="center"/>
              <w:rPr>
                <w:b/>
                <w:bCs/>
              </w:rPr>
            </w:pPr>
            <w:r w:rsidRPr="003F5F34">
              <w:rPr>
                <w:b/>
                <w:bCs/>
              </w:rPr>
              <w:t>Guidance on revisions to REF 2021 (2020/02)</w:t>
            </w:r>
          </w:p>
        </w:tc>
        <w:tc>
          <w:tcPr>
            <w:tcW w:w="469" w:type="pct"/>
          </w:tcPr>
          <w:p w14:paraId="797FA512" w14:textId="77777777" w:rsidR="00397861" w:rsidRPr="003F5F34" w:rsidRDefault="00397861" w:rsidP="00397861">
            <w:pPr>
              <w:jc w:val="center"/>
              <w:rPr>
                <w:b/>
                <w:bCs/>
              </w:rPr>
            </w:pPr>
            <w:r w:rsidRPr="003F5F34">
              <w:rPr>
                <w:b/>
                <w:bCs/>
              </w:rPr>
              <w:t>REV para no.</w:t>
            </w:r>
          </w:p>
        </w:tc>
      </w:tr>
      <w:tr w:rsidR="00397861" w:rsidRPr="003F5F34" w14:paraId="699FB1F5" w14:textId="77777777" w:rsidTr="00397861">
        <w:trPr>
          <w:jc w:val="center"/>
        </w:trPr>
        <w:tc>
          <w:tcPr>
            <w:tcW w:w="388" w:type="pct"/>
          </w:tcPr>
          <w:p w14:paraId="7F21FAE9" w14:textId="77777777" w:rsidR="00397861" w:rsidRPr="003F5F34" w:rsidRDefault="00397861" w:rsidP="00397861">
            <w:pPr>
              <w:jc w:val="center"/>
            </w:pPr>
            <w:r w:rsidRPr="003F5F34">
              <w:t>1</w:t>
            </w:r>
          </w:p>
        </w:tc>
        <w:tc>
          <w:tcPr>
            <w:tcW w:w="2098" w:type="pct"/>
          </w:tcPr>
          <w:p w14:paraId="55A3BA60" w14:textId="77777777" w:rsidR="00397861" w:rsidRPr="003F5F34" w:rsidRDefault="00397861" w:rsidP="00397861">
            <w:r w:rsidRPr="003F5F34">
              <w:t>In January 2019, the funding bodies published the ‘Guidance on submissions’ (REF 2019/01) and ‘Panel criteria and working methods’ (REF 2019/02) for the Research Excellence Framework (REF) 2021 exercise. Those two documents set out all the requirements for the submission of data by higher education institutions (HEIs) for REF 2021.</w:t>
            </w:r>
          </w:p>
        </w:tc>
        <w:tc>
          <w:tcPr>
            <w:tcW w:w="2045" w:type="pct"/>
            <w:vAlign w:val="center"/>
          </w:tcPr>
          <w:p w14:paraId="0531C6ED" w14:textId="77777777" w:rsidR="00397861" w:rsidRPr="003F5F34" w:rsidRDefault="00397861" w:rsidP="00397861">
            <w:pPr>
              <w:rPr>
                <w:b/>
                <w:bCs/>
              </w:rPr>
            </w:pPr>
            <w:r w:rsidRPr="003F5F34">
              <w:t xml:space="preserve">This document describes the revisions to the timetable for REF 2021, following the period during which it was on hold, and the changes and additions made to the guidance to take account of the effects of COVID-19. </w:t>
            </w:r>
            <w:r w:rsidRPr="003F5F34">
              <w:rPr>
                <w:b/>
                <w:bCs/>
              </w:rPr>
              <w:t>This document therefore acts as an addendum to, and where applicable supersedes, the following original guidance documentation:</w:t>
            </w:r>
          </w:p>
          <w:p w14:paraId="61A9219A" w14:textId="77777777" w:rsidR="00397861" w:rsidRPr="003F5F34" w:rsidRDefault="00397861" w:rsidP="00397861">
            <w:r w:rsidRPr="003F5F34">
              <w:t xml:space="preserve"> • ‘Guidance on submissions’ (2019/01). </w:t>
            </w:r>
          </w:p>
          <w:p w14:paraId="307AF0EE" w14:textId="77777777" w:rsidR="00397861" w:rsidRPr="003F5F34" w:rsidRDefault="00397861" w:rsidP="00397861">
            <w:r w:rsidRPr="003F5F34">
              <w:t>• ‘Panel criteria and working methods’ (2019/02).</w:t>
            </w:r>
          </w:p>
          <w:p w14:paraId="7779A815" w14:textId="77777777" w:rsidR="00397861" w:rsidRPr="003F5F34" w:rsidRDefault="00397861" w:rsidP="00397861">
            <w:r w:rsidRPr="003F5F34">
              <w:t xml:space="preserve"> • ‘Guidance on codes of practice’ (2019/03). </w:t>
            </w:r>
          </w:p>
          <w:p w14:paraId="113234BA" w14:textId="77777777" w:rsidR="00397861" w:rsidRPr="003F5F34" w:rsidRDefault="00397861" w:rsidP="00397861">
            <w:r w:rsidRPr="003F5F34">
              <w:t xml:space="preserve">• ‘Audit guidance’ (2019/04). </w:t>
            </w:r>
          </w:p>
          <w:p w14:paraId="4E1D8A3A" w14:textId="77777777" w:rsidR="00397861" w:rsidRPr="003F5F34" w:rsidRDefault="00397861" w:rsidP="00397861">
            <w:r w:rsidRPr="003F5F34">
              <w:t xml:space="preserve">• ‘Institutional-level environment pilot: supplementary guidance on submissions and panel criteria and working methods’ (2019/06). </w:t>
            </w:r>
          </w:p>
          <w:p w14:paraId="5E4CB7EC" w14:textId="77777777" w:rsidR="00397861" w:rsidRPr="003F5F34" w:rsidRDefault="00397861" w:rsidP="00397861">
            <w:r w:rsidRPr="003F5F34">
              <w:t>• Invitation to submit staff circumstances reduction requests.</w:t>
            </w:r>
          </w:p>
          <w:p w14:paraId="4038C54E" w14:textId="77777777" w:rsidR="00397861" w:rsidRPr="003F5F34" w:rsidRDefault="00397861" w:rsidP="00397861">
            <w:r w:rsidRPr="003F5F34">
              <w:t>• Invitation to submit to REF 2021.</w:t>
            </w:r>
          </w:p>
        </w:tc>
        <w:tc>
          <w:tcPr>
            <w:tcW w:w="469" w:type="pct"/>
          </w:tcPr>
          <w:p w14:paraId="5CF622BE" w14:textId="77777777" w:rsidR="00397861" w:rsidRPr="003F5F34" w:rsidRDefault="00397861" w:rsidP="00397861">
            <w:pPr>
              <w:jc w:val="center"/>
            </w:pPr>
            <w:r w:rsidRPr="003F5F34">
              <w:t>10</w:t>
            </w:r>
          </w:p>
        </w:tc>
      </w:tr>
      <w:tr w:rsidR="00397861" w:rsidRPr="003F5F34" w14:paraId="3F810F3E" w14:textId="77777777" w:rsidTr="00397861">
        <w:trPr>
          <w:jc w:val="center"/>
        </w:trPr>
        <w:tc>
          <w:tcPr>
            <w:tcW w:w="388" w:type="pct"/>
          </w:tcPr>
          <w:p w14:paraId="2E7AE32A" w14:textId="77777777" w:rsidR="00397861" w:rsidRPr="003F5F34" w:rsidRDefault="00397861" w:rsidP="00397861">
            <w:r w:rsidRPr="003F5F34">
              <w:t>6</w:t>
            </w:r>
          </w:p>
        </w:tc>
        <w:tc>
          <w:tcPr>
            <w:tcW w:w="2098" w:type="pct"/>
          </w:tcPr>
          <w:p w14:paraId="3B698FF6" w14:textId="77777777" w:rsidR="00397861" w:rsidRPr="003F5F34" w:rsidRDefault="00397861" w:rsidP="00397861">
            <w:r w:rsidRPr="003F5F34">
              <w:t xml:space="preserve">This audit guidance covers the full scope of audit for REF 2021, including </w:t>
            </w:r>
            <w:r w:rsidRPr="003F5F34">
              <w:lastRenderedPageBreak/>
              <w:t>the approach to auditing compliance with the REF open access (OA) policy.</w:t>
            </w:r>
          </w:p>
        </w:tc>
        <w:tc>
          <w:tcPr>
            <w:tcW w:w="2045" w:type="pct"/>
          </w:tcPr>
          <w:p w14:paraId="5BC491B4" w14:textId="77777777" w:rsidR="00397861" w:rsidRPr="003F5F34" w:rsidRDefault="00397861" w:rsidP="00397861">
            <w:r w:rsidRPr="003F5F34">
              <w:lastRenderedPageBreak/>
              <w:t>[See row: AG 1]</w:t>
            </w:r>
          </w:p>
        </w:tc>
        <w:tc>
          <w:tcPr>
            <w:tcW w:w="469" w:type="pct"/>
          </w:tcPr>
          <w:p w14:paraId="1F168F38" w14:textId="77777777" w:rsidR="00397861" w:rsidRPr="003F5F34" w:rsidRDefault="00397861" w:rsidP="00397861"/>
        </w:tc>
      </w:tr>
      <w:tr w:rsidR="00397861" w:rsidRPr="003F5F34" w14:paraId="3979B919" w14:textId="77777777" w:rsidTr="00397861">
        <w:trPr>
          <w:jc w:val="center"/>
        </w:trPr>
        <w:tc>
          <w:tcPr>
            <w:tcW w:w="388" w:type="pct"/>
          </w:tcPr>
          <w:p w14:paraId="55328454" w14:textId="77777777" w:rsidR="00397861" w:rsidRPr="003F5F34" w:rsidRDefault="00397861" w:rsidP="00397861">
            <w:pPr>
              <w:jc w:val="center"/>
            </w:pPr>
            <w:r w:rsidRPr="003F5F34">
              <w:t>19</w:t>
            </w:r>
          </w:p>
        </w:tc>
        <w:tc>
          <w:tcPr>
            <w:tcW w:w="2098" w:type="pct"/>
          </w:tcPr>
          <w:p w14:paraId="0E0B7D4F" w14:textId="77777777" w:rsidR="00397861" w:rsidRPr="003F5F34" w:rsidRDefault="00397861" w:rsidP="00397861">
            <w:r w:rsidRPr="003F5F34">
              <w:t xml:space="preserve">… However, HEIs should expect to retain audit evidence specifically related to REF 2021 until the end of 2021, and we recommend that they review and update their data and records retention schedule </w:t>
            </w:r>
            <w:proofErr w:type="gramStart"/>
            <w:r w:rsidRPr="003F5F34">
              <w:t>in light of</w:t>
            </w:r>
            <w:proofErr w:type="gramEnd"/>
            <w:r w:rsidRPr="003F5F34">
              <w:t xml:space="preserve"> this guidance.</w:t>
            </w:r>
          </w:p>
        </w:tc>
        <w:tc>
          <w:tcPr>
            <w:tcW w:w="2045" w:type="pct"/>
          </w:tcPr>
          <w:p w14:paraId="69D2FDAA" w14:textId="77777777" w:rsidR="00397861" w:rsidRPr="003F5F34" w:rsidRDefault="00397861" w:rsidP="00397861">
            <w:pPr>
              <w:rPr>
                <w:i/>
                <w:iCs/>
              </w:rPr>
            </w:pPr>
            <w:r w:rsidRPr="003F5F34">
              <w:rPr>
                <w:i/>
                <w:iCs/>
              </w:rPr>
              <w:t>In line with the revised timetable, the original paragraph should now be read as follows:</w:t>
            </w:r>
          </w:p>
          <w:p w14:paraId="5E5A44EA" w14:textId="77777777" w:rsidR="00397861" w:rsidRPr="003F5F34" w:rsidRDefault="00397861" w:rsidP="00397861">
            <w:pPr>
              <w:rPr>
                <w:i/>
                <w:iCs/>
              </w:rPr>
            </w:pPr>
          </w:p>
          <w:p w14:paraId="48129CE6" w14:textId="77777777" w:rsidR="00397861" w:rsidRPr="003F5F34" w:rsidRDefault="00397861" w:rsidP="00397861">
            <w:r w:rsidRPr="003F5F34">
              <w:t xml:space="preserve">… However, HEIs should expect to retain audit evidence specifically related to REF 2021 until </w:t>
            </w:r>
            <w:r w:rsidRPr="003F5F34">
              <w:rPr>
                <w:b/>
                <w:bCs/>
              </w:rPr>
              <w:t>completion of the exercise</w:t>
            </w:r>
            <w:r w:rsidRPr="003F5F34">
              <w:t xml:space="preserve">, and we recommend that they review and update their data and records retention schedule </w:t>
            </w:r>
            <w:proofErr w:type="gramStart"/>
            <w:r w:rsidRPr="003F5F34">
              <w:t>in light of</w:t>
            </w:r>
            <w:proofErr w:type="gramEnd"/>
            <w:r w:rsidRPr="003F5F34">
              <w:t xml:space="preserve"> this guidance.</w:t>
            </w:r>
          </w:p>
        </w:tc>
        <w:tc>
          <w:tcPr>
            <w:tcW w:w="469" w:type="pct"/>
          </w:tcPr>
          <w:p w14:paraId="0D19FFDF" w14:textId="77777777" w:rsidR="00397861" w:rsidRPr="003F5F34" w:rsidRDefault="00397861" w:rsidP="00397861">
            <w:pPr>
              <w:jc w:val="center"/>
            </w:pPr>
            <w:r w:rsidRPr="003F5F34">
              <w:t>15</w:t>
            </w:r>
          </w:p>
        </w:tc>
      </w:tr>
      <w:tr w:rsidR="00397861" w:rsidRPr="003F5F34" w14:paraId="7E8D6229" w14:textId="77777777" w:rsidTr="00397861">
        <w:trPr>
          <w:jc w:val="center"/>
        </w:trPr>
        <w:tc>
          <w:tcPr>
            <w:tcW w:w="388" w:type="pct"/>
          </w:tcPr>
          <w:p w14:paraId="0DBEB892" w14:textId="77777777" w:rsidR="00397861" w:rsidRPr="003F5F34" w:rsidRDefault="00397861" w:rsidP="00397861">
            <w:pPr>
              <w:jc w:val="center"/>
            </w:pPr>
            <w:r w:rsidRPr="003F5F34">
              <w:t>20</w:t>
            </w:r>
          </w:p>
        </w:tc>
        <w:tc>
          <w:tcPr>
            <w:tcW w:w="2098" w:type="pct"/>
          </w:tcPr>
          <w:p w14:paraId="68BB6D43" w14:textId="77777777" w:rsidR="00397861" w:rsidRPr="003F5F34" w:rsidRDefault="00397861" w:rsidP="00397861">
            <w:r w:rsidRPr="003F5F34">
              <w:t>The REF will not retain audit evidence for longer than necessary, and in any case no longer than the end of December 2021. …</w:t>
            </w:r>
          </w:p>
        </w:tc>
        <w:tc>
          <w:tcPr>
            <w:tcW w:w="2045" w:type="pct"/>
          </w:tcPr>
          <w:p w14:paraId="795B9454" w14:textId="77777777" w:rsidR="00397861" w:rsidRPr="003F5F34" w:rsidRDefault="00397861" w:rsidP="00397861">
            <w:pPr>
              <w:rPr>
                <w:i/>
                <w:iCs/>
              </w:rPr>
            </w:pPr>
            <w:r w:rsidRPr="003F5F34">
              <w:rPr>
                <w:i/>
                <w:iCs/>
              </w:rPr>
              <w:t>In line with the revised timetable, the original paragraph should now be read as follows:</w:t>
            </w:r>
          </w:p>
          <w:p w14:paraId="4956576C" w14:textId="77777777" w:rsidR="00397861" w:rsidRPr="003F5F34" w:rsidRDefault="00397861" w:rsidP="00397861"/>
          <w:p w14:paraId="10649C49" w14:textId="77777777" w:rsidR="00397861" w:rsidRPr="003F5F34" w:rsidRDefault="00397861" w:rsidP="00397861">
            <w:r w:rsidRPr="003F5F34">
              <w:t xml:space="preserve">The REF will not retain audit evidence for longer than necessary, and in any case no longer than </w:t>
            </w:r>
            <w:r w:rsidRPr="003F5F34">
              <w:rPr>
                <w:b/>
                <w:bCs/>
              </w:rPr>
              <w:t>completion of the exercise</w:t>
            </w:r>
            <w:r w:rsidRPr="003F5F34">
              <w:t>. …</w:t>
            </w:r>
          </w:p>
        </w:tc>
        <w:tc>
          <w:tcPr>
            <w:tcW w:w="469" w:type="pct"/>
          </w:tcPr>
          <w:p w14:paraId="7ECC4C05" w14:textId="77777777" w:rsidR="00397861" w:rsidRPr="003F5F34" w:rsidRDefault="00397861" w:rsidP="00397861">
            <w:pPr>
              <w:jc w:val="center"/>
            </w:pPr>
            <w:r w:rsidRPr="003F5F34">
              <w:t>15</w:t>
            </w:r>
          </w:p>
        </w:tc>
      </w:tr>
      <w:tr w:rsidR="00397861" w:rsidRPr="003F5F34" w14:paraId="60E26788" w14:textId="77777777" w:rsidTr="00397861">
        <w:trPr>
          <w:jc w:val="center"/>
        </w:trPr>
        <w:tc>
          <w:tcPr>
            <w:tcW w:w="388" w:type="pct"/>
          </w:tcPr>
          <w:p w14:paraId="10FBB2F6" w14:textId="77777777" w:rsidR="00397861" w:rsidRPr="003F5F34" w:rsidRDefault="00397861" w:rsidP="00397861">
            <w:pPr>
              <w:jc w:val="center"/>
            </w:pPr>
            <w:r w:rsidRPr="003F5F34">
              <w:t>26</w:t>
            </w:r>
          </w:p>
        </w:tc>
        <w:tc>
          <w:tcPr>
            <w:tcW w:w="2098" w:type="pct"/>
          </w:tcPr>
          <w:p w14:paraId="230D48C8" w14:textId="77777777" w:rsidR="00397861" w:rsidRPr="003F5F34" w:rsidRDefault="00397861" w:rsidP="00397861">
            <w:r w:rsidRPr="003F5F34">
              <w:t>[Evidence examples for staff eligibility]</w:t>
            </w:r>
          </w:p>
        </w:tc>
        <w:tc>
          <w:tcPr>
            <w:tcW w:w="2045" w:type="pct"/>
          </w:tcPr>
          <w:p w14:paraId="4FADEA16" w14:textId="77777777" w:rsidR="00397861" w:rsidRPr="003F5F34" w:rsidRDefault="00397861" w:rsidP="00397861">
            <w:pPr>
              <w:rPr>
                <w:b/>
                <w:bCs/>
              </w:rPr>
            </w:pPr>
            <w:r w:rsidRPr="003F5F34">
              <w:rPr>
                <w:b/>
                <w:bCs/>
              </w:rPr>
              <w:t>For wider personal circumstances, including changes to contracts or job roles (such as furloughed staff, staff diverted to frontline service roles or priority areas within the institution in response to COVID-19), appropriate evidence that the HEI might have consulted could include HR records confirming contract amendments, central or departmental records confirming reprioritised activity relating to COVID-19 (this is not an exhaustive or prescriptive list of examples).</w:t>
            </w:r>
          </w:p>
        </w:tc>
        <w:tc>
          <w:tcPr>
            <w:tcW w:w="469" w:type="pct"/>
          </w:tcPr>
          <w:p w14:paraId="5DFA2821" w14:textId="77777777" w:rsidR="00397861" w:rsidRPr="003F5F34" w:rsidRDefault="00397861" w:rsidP="00397861">
            <w:pPr>
              <w:jc w:val="center"/>
            </w:pPr>
            <w:r w:rsidRPr="003F5F34">
              <w:t>89.b.</w:t>
            </w:r>
          </w:p>
        </w:tc>
      </w:tr>
      <w:tr w:rsidR="00397861" w:rsidRPr="003F5F34" w14:paraId="739CDC9B" w14:textId="77777777" w:rsidTr="00397861">
        <w:trPr>
          <w:jc w:val="center"/>
        </w:trPr>
        <w:tc>
          <w:tcPr>
            <w:tcW w:w="388" w:type="pct"/>
          </w:tcPr>
          <w:p w14:paraId="68AABBAC" w14:textId="77777777" w:rsidR="00397861" w:rsidRPr="003F5F34" w:rsidRDefault="00397861" w:rsidP="00397861">
            <w:pPr>
              <w:jc w:val="center"/>
            </w:pPr>
            <w:r w:rsidRPr="003F5F34">
              <w:t>31</w:t>
            </w:r>
          </w:p>
        </w:tc>
        <w:tc>
          <w:tcPr>
            <w:tcW w:w="2098" w:type="pct"/>
          </w:tcPr>
          <w:p w14:paraId="78EEAB91" w14:textId="77777777" w:rsidR="00397861" w:rsidRPr="003F5F34" w:rsidRDefault="00397861" w:rsidP="00397861">
            <w:r w:rsidRPr="003F5F34">
              <w:t>A request for evidence relating to the staff sample will be sent to all HEIs in early December 2020. The deadline for responses will be in late January 2021. …</w:t>
            </w:r>
          </w:p>
        </w:tc>
        <w:tc>
          <w:tcPr>
            <w:tcW w:w="2045" w:type="pct"/>
          </w:tcPr>
          <w:p w14:paraId="7738E411" w14:textId="77777777" w:rsidR="00397861" w:rsidRPr="003F5F34" w:rsidRDefault="00397861" w:rsidP="00397861">
            <w:pPr>
              <w:rPr>
                <w:b/>
                <w:bCs/>
              </w:rPr>
            </w:pPr>
            <w:r w:rsidRPr="003F5F34">
              <w:rPr>
                <w:b/>
                <w:bCs/>
              </w:rPr>
              <w:t xml:space="preserve">April – May 2021: </w:t>
            </w:r>
            <w:r w:rsidRPr="003F5F34">
              <w:t>Audit period for staff sample data</w:t>
            </w:r>
          </w:p>
        </w:tc>
        <w:tc>
          <w:tcPr>
            <w:tcW w:w="469" w:type="pct"/>
          </w:tcPr>
          <w:p w14:paraId="5C924CE5" w14:textId="77777777" w:rsidR="00397861" w:rsidRPr="003F5F34" w:rsidRDefault="00397861" w:rsidP="00397861">
            <w:pPr>
              <w:jc w:val="center"/>
            </w:pPr>
            <w:r w:rsidRPr="003F5F34">
              <w:t>Annex D</w:t>
            </w:r>
          </w:p>
        </w:tc>
      </w:tr>
      <w:tr w:rsidR="00397861" w:rsidRPr="003F5F34" w14:paraId="4DAE723C" w14:textId="77777777" w:rsidTr="00397861">
        <w:trPr>
          <w:jc w:val="center"/>
        </w:trPr>
        <w:tc>
          <w:tcPr>
            <w:tcW w:w="388" w:type="pct"/>
          </w:tcPr>
          <w:p w14:paraId="63C82A55" w14:textId="77777777" w:rsidR="00397861" w:rsidRPr="003F5F34" w:rsidRDefault="00397861" w:rsidP="00397861">
            <w:pPr>
              <w:jc w:val="center"/>
            </w:pPr>
            <w:r w:rsidRPr="003F5F34">
              <w:t>40</w:t>
            </w:r>
          </w:p>
        </w:tc>
        <w:tc>
          <w:tcPr>
            <w:tcW w:w="2098" w:type="pct"/>
          </w:tcPr>
          <w:p w14:paraId="110CDAD2" w14:textId="77777777" w:rsidR="00397861" w:rsidRPr="003F5F34" w:rsidRDefault="00397861" w:rsidP="00397861">
            <w:r w:rsidRPr="003F5F34">
              <w:t xml:space="preserve">We will undertake verification of the dates that outputs became publicly available, particularly where they were published early in the REF period or are marked as ‘pending’ publication </w:t>
            </w:r>
            <w:r w:rsidRPr="003F5F34">
              <w:lastRenderedPageBreak/>
              <w:t>(for example, by obtaining a letter from the publisher). …</w:t>
            </w:r>
          </w:p>
        </w:tc>
        <w:tc>
          <w:tcPr>
            <w:tcW w:w="2045" w:type="pct"/>
          </w:tcPr>
          <w:p w14:paraId="353358E5" w14:textId="77777777" w:rsidR="00397861" w:rsidRPr="003F5F34" w:rsidRDefault="00397861" w:rsidP="00397861">
            <w:r w:rsidRPr="003F5F34">
              <w:lastRenderedPageBreak/>
              <w:t xml:space="preserve">We will undertake </w:t>
            </w:r>
            <w:r w:rsidRPr="003F5F34">
              <w:rPr>
                <w:b/>
                <w:bCs/>
              </w:rPr>
              <w:t>data verification of information submitted in accordance with the revised guidance as follows</w:t>
            </w:r>
            <w:r w:rsidRPr="003F5F34">
              <w:t xml:space="preserve">: </w:t>
            </w:r>
          </w:p>
          <w:p w14:paraId="0DE62249" w14:textId="77777777" w:rsidR="00397861" w:rsidRPr="003F5F34" w:rsidRDefault="00397861" w:rsidP="00397861">
            <w:r w:rsidRPr="003F5F34">
              <w:lastRenderedPageBreak/>
              <w:t xml:space="preserve">a. REF team audit: information submitted on staff (including staff eligibility and removing the minimum of one) and outputs (including timeframe eligibility and open access compliance) will be included in the existing audit approaches for these aspects, as set out in the ‘Audit guidance’. </w:t>
            </w:r>
            <w:r w:rsidRPr="003F5F34">
              <w:rPr>
                <w:b/>
                <w:bCs/>
              </w:rPr>
              <w:t xml:space="preserve">Where outputs and impact case studies are identified for audit as part of our existing </w:t>
            </w:r>
            <w:proofErr w:type="gramStart"/>
            <w:r w:rsidRPr="003F5F34">
              <w:rPr>
                <w:b/>
                <w:bCs/>
              </w:rPr>
              <w:t>approach, and</w:t>
            </w:r>
            <w:proofErr w:type="gramEnd"/>
            <w:r w:rsidRPr="003F5F34">
              <w:rPr>
                <w:b/>
                <w:bCs/>
              </w:rPr>
              <w:t xml:space="preserve"> are submitted with affected output or case study statements, we will seek to verify information provided in the statements alongside wider data verification of the output or case study.</w:t>
            </w:r>
          </w:p>
          <w:p w14:paraId="50BDFCDF" w14:textId="77777777" w:rsidR="00397861" w:rsidRPr="003F5F34" w:rsidRDefault="00397861" w:rsidP="00397861"/>
          <w:p w14:paraId="239AD340" w14:textId="77777777" w:rsidR="00397861" w:rsidRPr="003F5F34" w:rsidRDefault="00397861" w:rsidP="00397861">
            <w:pPr>
              <w:rPr>
                <w:b/>
                <w:bCs/>
              </w:rPr>
            </w:pPr>
            <w:r w:rsidRPr="003F5F34">
              <w:rPr>
                <w:b/>
                <w:bCs/>
              </w:rPr>
              <w:t>Where there are external effects on aspects of submissions due to COVID-19, such as delays to publications, cancelled events or activities, restricted access to buildings or facilities, and so on, appropriate evidence that the HEI might have consulted could include correspondence from the relevant third party about delays, cancellations or access issues, or evidence as to why correspondence could not be obtained (for example, where an organisation may have paused activity or closed). This is not an exhaustive or prescriptive list of examples.</w:t>
            </w:r>
          </w:p>
          <w:p w14:paraId="05A708BC" w14:textId="77777777" w:rsidR="00397861" w:rsidRPr="003F5F34" w:rsidRDefault="00397861" w:rsidP="00397861">
            <w:pPr>
              <w:rPr>
                <w:b/>
                <w:bCs/>
              </w:rPr>
            </w:pPr>
          </w:p>
          <w:p w14:paraId="7406B689" w14:textId="77777777" w:rsidR="00397861" w:rsidRPr="003F5F34" w:rsidRDefault="00397861" w:rsidP="00397861">
            <w:pPr>
              <w:rPr>
                <w:b/>
                <w:bCs/>
              </w:rPr>
            </w:pPr>
            <w:r w:rsidRPr="003F5F34">
              <w:rPr>
                <w:b/>
                <w:bCs/>
              </w:rPr>
              <w:t>Regarding clear evidence that an output was expected to be in the public domain by the 31 December 2020, appropriate forms the HEI might have consulted could include publishing contracts, correspondence or other suitable evidence confirming the expected date of appearance.</w:t>
            </w:r>
          </w:p>
          <w:p w14:paraId="4095A659" w14:textId="77777777" w:rsidR="00397861" w:rsidRPr="003F5F34" w:rsidRDefault="00397861" w:rsidP="00397861"/>
          <w:p w14:paraId="481B727B" w14:textId="77777777" w:rsidR="00397861" w:rsidRPr="003F5F34" w:rsidRDefault="00397861" w:rsidP="00397861">
            <w:r w:rsidRPr="003F5F34">
              <w:t xml:space="preserve">The original guidance made provision for the submission of outputs due for publication between the submission deadline (previously 27 November </w:t>
            </w:r>
            <w:r w:rsidRPr="003F5F34">
              <w:lastRenderedPageBreak/>
              <w:t xml:space="preserve">2020) and the end of the publication period (31 December 2020). </w:t>
            </w:r>
          </w:p>
          <w:p w14:paraId="6003C3D4" w14:textId="77777777" w:rsidR="00397861" w:rsidRPr="003F5F34" w:rsidRDefault="00397861" w:rsidP="00397861"/>
          <w:p w14:paraId="0B7C927B" w14:textId="77777777" w:rsidR="00397861" w:rsidRPr="003F5F34" w:rsidRDefault="00397861" w:rsidP="00397861">
            <w:pPr>
              <w:rPr>
                <w:b/>
                <w:bCs/>
              </w:rPr>
            </w:pPr>
            <w:r w:rsidRPr="003F5F34">
              <w:rPr>
                <w:b/>
                <w:bCs/>
              </w:rPr>
              <w:t>The revised submission deadline of 31 March 2021 falls after the end of the publication period, which remains 31 December 2020 (with an exception for delayed outputs). Therefore, this provision is no longer required and the associated guidance for pending outputs no longer applies.</w:t>
            </w:r>
            <w:r w:rsidRPr="003F5F34">
              <w:rPr>
                <w:b/>
                <w:bCs/>
              </w:rPr>
              <w:tab/>
            </w:r>
          </w:p>
        </w:tc>
        <w:tc>
          <w:tcPr>
            <w:tcW w:w="469" w:type="pct"/>
          </w:tcPr>
          <w:p w14:paraId="450C32D4" w14:textId="77777777" w:rsidR="00397861" w:rsidRPr="003F5F34" w:rsidRDefault="00397861" w:rsidP="00397861">
            <w:pPr>
              <w:jc w:val="center"/>
            </w:pPr>
            <w:r w:rsidRPr="003F5F34">
              <w:lastRenderedPageBreak/>
              <w:t>87-</w:t>
            </w:r>
            <w:proofErr w:type="gramStart"/>
            <w:r w:rsidRPr="003F5F34">
              <w:t>87.a.</w:t>
            </w:r>
            <w:proofErr w:type="gramEnd"/>
          </w:p>
          <w:p w14:paraId="0006C710" w14:textId="77777777" w:rsidR="00397861" w:rsidRPr="003F5F34" w:rsidRDefault="00397861" w:rsidP="00397861">
            <w:pPr>
              <w:jc w:val="center"/>
            </w:pPr>
          </w:p>
          <w:p w14:paraId="1F0F4E56" w14:textId="77777777" w:rsidR="00397861" w:rsidRPr="003F5F34" w:rsidRDefault="00397861" w:rsidP="00397861">
            <w:pPr>
              <w:jc w:val="center"/>
            </w:pPr>
          </w:p>
          <w:p w14:paraId="293D0273" w14:textId="77777777" w:rsidR="00397861" w:rsidRPr="003F5F34" w:rsidRDefault="00397861" w:rsidP="00397861">
            <w:pPr>
              <w:jc w:val="center"/>
            </w:pPr>
          </w:p>
          <w:p w14:paraId="2493C8A6" w14:textId="77777777" w:rsidR="00397861" w:rsidRPr="003F5F34" w:rsidRDefault="00397861" w:rsidP="00397861">
            <w:pPr>
              <w:jc w:val="center"/>
            </w:pPr>
          </w:p>
          <w:p w14:paraId="54855E19" w14:textId="77777777" w:rsidR="00397861" w:rsidRPr="003F5F34" w:rsidRDefault="00397861" w:rsidP="00397861">
            <w:pPr>
              <w:jc w:val="center"/>
            </w:pPr>
          </w:p>
          <w:p w14:paraId="1B77BE19" w14:textId="77777777" w:rsidR="00397861" w:rsidRPr="003F5F34" w:rsidRDefault="00397861" w:rsidP="00397861">
            <w:pPr>
              <w:jc w:val="center"/>
            </w:pPr>
          </w:p>
          <w:p w14:paraId="5BC496D4" w14:textId="77777777" w:rsidR="00397861" w:rsidRPr="003F5F34" w:rsidRDefault="00397861" w:rsidP="00397861">
            <w:pPr>
              <w:jc w:val="center"/>
            </w:pPr>
          </w:p>
          <w:p w14:paraId="1FDB2360" w14:textId="77777777" w:rsidR="00397861" w:rsidRPr="003F5F34" w:rsidRDefault="00397861" w:rsidP="00397861">
            <w:pPr>
              <w:jc w:val="center"/>
            </w:pPr>
          </w:p>
          <w:p w14:paraId="34E8E3FB" w14:textId="77777777" w:rsidR="00397861" w:rsidRPr="003F5F34" w:rsidRDefault="00397861" w:rsidP="00397861">
            <w:pPr>
              <w:jc w:val="center"/>
            </w:pPr>
          </w:p>
          <w:p w14:paraId="657EE04F" w14:textId="77777777" w:rsidR="00397861" w:rsidRPr="003F5F34" w:rsidRDefault="00397861" w:rsidP="00397861">
            <w:pPr>
              <w:jc w:val="center"/>
            </w:pPr>
          </w:p>
          <w:p w14:paraId="4F702584" w14:textId="77777777" w:rsidR="00397861" w:rsidRPr="003F5F34" w:rsidRDefault="00397861" w:rsidP="00397861">
            <w:pPr>
              <w:jc w:val="center"/>
            </w:pPr>
          </w:p>
          <w:p w14:paraId="1C5C2B99" w14:textId="77777777" w:rsidR="00397861" w:rsidRPr="003F5F34" w:rsidRDefault="00397861" w:rsidP="00397861">
            <w:pPr>
              <w:jc w:val="center"/>
            </w:pPr>
          </w:p>
          <w:p w14:paraId="17013C9D" w14:textId="77777777" w:rsidR="00397861" w:rsidRPr="003F5F34" w:rsidRDefault="00397861" w:rsidP="00397861">
            <w:pPr>
              <w:jc w:val="center"/>
            </w:pPr>
          </w:p>
          <w:p w14:paraId="257F1712" w14:textId="77777777" w:rsidR="00397861" w:rsidRPr="003F5F34" w:rsidRDefault="00397861" w:rsidP="00397861">
            <w:pPr>
              <w:jc w:val="center"/>
            </w:pPr>
          </w:p>
          <w:p w14:paraId="17A4E4AF" w14:textId="77777777" w:rsidR="00397861" w:rsidRPr="003F5F34" w:rsidRDefault="00397861" w:rsidP="00397861">
            <w:pPr>
              <w:jc w:val="center"/>
            </w:pPr>
          </w:p>
          <w:p w14:paraId="2BE5CA91" w14:textId="77777777" w:rsidR="00397861" w:rsidRPr="003F5F34" w:rsidRDefault="00397861" w:rsidP="00397861">
            <w:pPr>
              <w:jc w:val="center"/>
            </w:pPr>
          </w:p>
          <w:p w14:paraId="2998F0F9" w14:textId="77777777" w:rsidR="00397861" w:rsidRPr="003F5F34" w:rsidRDefault="00397861" w:rsidP="00397861">
            <w:pPr>
              <w:jc w:val="center"/>
            </w:pPr>
          </w:p>
          <w:p w14:paraId="6B614131" w14:textId="77777777" w:rsidR="00397861" w:rsidRPr="003F5F34" w:rsidRDefault="00397861" w:rsidP="00397861">
            <w:pPr>
              <w:jc w:val="center"/>
            </w:pPr>
          </w:p>
          <w:p w14:paraId="0D0EF29C" w14:textId="77777777" w:rsidR="00397861" w:rsidRPr="003F5F34" w:rsidRDefault="00397861" w:rsidP="00397861">
            <w:pPr>
              <w:jc w:val="center"/>
            </w:pPr>
          </w:p>
          <w:p w14:paraId="117DFD40" w14:textId="77777777" w:rsidR="00397861" w:rsidRPr="003F5F34" w:rsidRDefault="00397861" w:rsidP="00397861">
            <w:pPr>
              <w:jc w:val="center"/>
            </w:pPr>
          </w:p>
          <w:p w14:paraId="29694B08" w14:textId="77777777" w:rsidR="00397861" w:rsidRPr="003F5F34" w:rsidRDefault="00397861" w:rsidP="00397861">
            <w:pPr>
              <w:jc w:val="center"/>
            </w:pPr>
          </w:p>
          <w:p w14:paraId="47703006" w14:textId="77777777" w:rsidR="00397861" w:rsidRPr="003F5F34" w:rsidRDefault="00397861" w:rsidP="00397861">
            <w:pPr>
              <w:jc w:val="center"/>
            </w:pPr>
            <w:r w:rsidRPr="003F5F34">
              <w:t>89.c.</w:t>
            </w:r>
          </w:p>
          <w:p w14:paraId="35EF1FE9" w14:textId="77777777" w:rsidR="00397861" w:rsidRPr="003F5F34" w:rsidRDefault="00397861" w:rsidP="00397861">
            <w:pPr>
              <w:jc w:val="center"/>
            </w:pPr>
          </w:p>
          <w:p w14:paraId="31A7FD4B" w14:textId="77777777" w:rsidR="00397861" w:rsidRPr="003F5F34" w:rsidRDefault="00397861" w:rsidP="00397861">
            <w:pPr>
              <w:jc w:val="center"/>
            </w:pPr>
          </w:p>
          <w:p w14:paraId="14AD034F" w14:textId="77777777" w:rsidR="00397861" w:rsidRPr="003F5F34" w:rsidRDefault="00397861" w:rsidP="00397861">
            <w:pPr>
              <w:jc w:val="center"/>
            </w:pPr>
          </w:p>
          <w:p w14:paraId="4C64B81A" w14:textId="77777777" w:rsidR="00397861" w:rsidRPr="003F5F34" w:rsidRDefault="00397861" w:rsidP="00397861">
            <w:pPr>
              <w:jc w:val="center"/>
            </w:pPr>
          </w:p>
          <w:p w14:paraId="4EF7A572" w14:textId="77777777" w:rsidR="00397861" w:rsidRPr="003F5F34" w:rsidRDefault="00397861" w:rsidP="00397861">
            <w:pPr>
              <w:jc w:val="center"/>
            </w:pPr>
          </w:p>
          <w:p w14:paraId="0D92E4C1" w14:textId="77777777" w:rsidR="00397861" w:rsidRPr="003F5F34" w:rsidRDefault="00397861" w:rsidP="00397861">
            <w:pPr>
              <w:jc w:val="center"/>
            </w:pPr>
          </w:p>
          <w:p w14:paraId="575E6786" w14:textId="77777777" w:rsidR="00397861" w:rsidRPr="003F5F34" w:rsidRDefault="00397861" w:rsidP="00397861">
            <w:pPr>
              <w:jc w:val="center"/>
            </w:pPr>
          </w:p>
          <w:p w14:paraId="5BB66E59" w14:textId="77777777" w:rsidR="00397861" w:rsidRPr="003F5F34" w:rsidRDefault="00397861" w:rsidP="00397861">
            <w:pPr>
              <w:jc w:val="center"/>
            </w:pPr>
          </w:p>
          <w:p w14:paraId="00B4310A" w14:textId="77777777" w:rsidR="00397861" w:rsidRPr="003F5F34" w:rsidRDefault="00397861" w:rsidP="00397861">
            <w:pPr>
              <w:jc w:val="center"/>
            </w:pPr>
          </w:p>
          <w:p w14:paraId="1BCA04E8" w14:textId="77777777" w:rsidR="00397861" w:rsidRPr="003F5F34" w:rsidRDefault="00397861" w:rsidP="00397861">
            <w:pPr>
              <w:jc w:val="center"/>
            </w:pPr>
          </w:p>
          <w:p w14:paraId="302AFB92" w14:textId="77777777" w:rsidR="00397861" w:rsidRPr="003F5F34" w:rsidRDefault="00397861" w:rsidP="00397861">
            <w:pPr>
              <w:jc w:val="center"/>
            </w:pPr>
          </w:p>
          <w:p w14:paraId="7C01D35C" w14:textId="77777777" w:rsidR="00397861" w:rsidRPr="003F5F34" w:rsidRDefault="00397861" w:rsidP="00397861">
            <w:pPr>
              <w:jc w:val="center"/>
            </w:pPr>
          </w:p>
          <w:p w14:paraId="6D166545" w14:textId="77777777" w:rsidR="00397861" w:rsidRPr="003F5F34" w:rsidRDefault="00397861" w:rsidP="00397861">
            <w:pPr>
              <w:jc w:val="center"/>
            </w:pPr>
          </w:p>
          <w:p w14:paraId="0F37FF6E" w14:textId="77777777" w:rsidR="00397861" w:rsidRPr="003F5F34" w:rsidRDefault="00397861" w:rsidP="00397861">
            <w:pPr>
              <w:jc w:val="center"/>
            </w:pPr>
          </w:p>
          <w:p w14:paraId="724EE012" w14:textId="77777777" w:rsidR="00397861" w:rsidRPr="003F5F34" w:rsidRDefault="00397861" w:rsidP="00397861">
            <w:pPr>
              <w:jc w:val="center"/>
            </w:pPr>
          </w:p>
          <w:p w14:paraId="56F70CD2" w14:textId="77777777" w:rsidR="00397861" w:rsidRPr="003F5F34" w:rsidRDefault="00397861" w:rsidP="00397861">
            <w:pPr>
              <w:jc w:val="center"/>
            </w:pPr>
          </w:p>
          <w:p w14:paraId="5EB3BEE9" w14:textId="77777777" w:rsidR="00397861" w:rsidRPr="003F5F34" w:rsidRDefault="00397861" w:rsidP="00397861">
            <w:pPr>
              <w:jc w:val="center"/>
            </w:pPr>
          </w:p>
          <w:p w14:paraId="30AFDCB1" w14:textId="77777777" w:rsidR="00397861" w:rsidRPr="003F5F34" w:rsidRDefault="00397861" w:rsidP="00397861">
            <w:pPr>
              <w:jc w:val="center"/>
            </w:pPr>
          </w:p>
          <w:p w14:paraId="65B2494A" w14:textId="77777777" w:rsidR="00397861" w:rsidRPr="003F5F34" w:rsidRDefault="00397861" w:rsidP="00397861">
            <w:pPr>
              <w:jc w:val="center"/>
            </w:pPr>
            <w:r w:rsidRPr="003F5F34">
              <w:t>89.d.</w:t>
            </w:r>
          </w:p>
          <w:p w14:paraId="03B297AB" w14:textId="77777777" w:rsidR="00397861" w:rsidRPr="003F5F34" w:rsidRDefault="00397861" w:rsidP="00397861">
            <w:pPr>
              <w:jc w:val="center"/>
            </w:pPr>
          </w:p>
          <w:p w14:paraId="7571314B" w14:textId="77777777" w:rsidR="00397861" w:rsidRPr="003F5F34" w:rsidRDefault="00397861" w:rsidP="00397861">
            <w:pPr>
              <w:jc w:val="center"/>
            </w:pPr>
          </w:p>
          <w:p w14:paraId="127CF09A" w14:textId="77777777" w:rsidR="00397861" w:rsidRPr="003F5F34" w:rsidRDefault="00397861" w:rsidP="00397861">
            <w:pPr>
              <w:jc w:val="center"/>
            </w:pPr>
          </w:p>
          <w:p w14:paraId="5E26FC37" w14:textId="77777777" w:rsidR="00397861" w:rsidRPr="003F5F34" w:rsidRDefault="00397861" w:rsidP="00397861">
            <w:pPr>
              <w:jc w:val="center"/>
            </w:pPr>
          </w:p>
          <w:p w14:paraId="18A6B3A2" w14:textId="77777777" w:rsidR="00397861" w:rsidRPr="003F5F34" w:rsidRDefault="00397861" w:rsidP="00397861">
            <w:pPr>
              <w:jc w:val="center"/>
            </w:pPr>
          </w:p>
          <w:p w14:paraId="4E4605AC" w14:textId="77777777" w:rsidR="00397861" w:rsidRPr="003F5F34" w:rsidRDefault="00397861" w:rsidP="00397861">
            <w:pPr>
              <w:jc w:val="center"/>
            </w:pPr>
          </w:p>
          <w:p w14:paraId="6F547DAF" w14:textId="77777777" w:rsidR="00397861" w:rsidRPr="003F5F34" w:rsidRDefault="00397861" w:rsidP="00397861">
            <w:pPr>
              <w:jc w:val="center"/>
            </w:pPr>
          </w:p>
          <w:p w14:paraId="1766997D" w14:textId="77777777" w:rsidR="00397861" w:rsidRPr="003F5F34" w:rsidRDefault="00397861" w:rsidP="00397861">
            <w:pPr>
              <w:jc w:val="center"/>
            </w:pPr>
          </w:p>
          <w:p w14:paraId="561B0E13" w14:textId="77777777" w:rsidR="00397861" w:rsidRPr="003F5F34" w:rsidRDefault="00397861" w:rsidP="00397861">
            <w:pPr>
              <w:jc w:val="center"/>
            </w:pPr>
          </w:p>
          <w:p w14:paraId="66F7DB8C" w14:textId="77777777" w:rsidR="00397861" w:rsidRPr="003F5F34" w:rsidRDefault="00397861" w:rsidP="00397861">
            <w:pPr>
              <w:jc w:val="center"/>
            </w:pPr>
            <w:r w:rsidRPr="003F5F34">
              <w:t>44-45</w:t>
            </w:r>
          </w:p>
        </w:tc>
      </w:tr>
      <w:tr w:rsidR="00397861" w:rsidRPr="003F5F34" w14:paraId="6D2E6991" w14:textId="77777777" w:rsidTr="00397861">
        <w:trPr>
          <w:jc w:val="center"/>
        </w:trPr>
        <w:tc>
          <w:tcPr>
            <w:tcW w:w="388" w:type="pct"/>
          </w:tcPr>
          <w:p w14:paraId="3861429C" w14:textId="77777777" w:rsidR="00397861" w:rsidRPr="003F5F34" w:rsidRDefault="00397861" w:rsidP="00397861">
            <w:pPr>
              <w:jc w:val="center"/>
            </w:pPr>
            <w:r w:rsidRPr="003F5F34">
              <w:lastRenderedPageBreak/>
              <w:t>43</w:t>
            </w:r>
          </w:p>
        </w:tc>
        <w:tc>
          <w:tcPr>
            <w:tcW w:w="2098" w:type="pct"/>
          </w:tcPr>
          <w:p w14:paraId="06453A36" w14:textId="77777777" w:rsidR="00397861" w:rsidRPr="003F5F34" w:rsidRDefault="00397861" w:rsidP="00397861">
            <w:r w:rsidRPr="003F5F34">
              <w:t>As set out in the ‘Guidance on submissions’, outputs determined to be ineligible through audit will be removed from the submission and an unclassified score added to the profile to account for the ‘missing’ output. …</w:t>
            </w:r>
          </w:p>
        </w:tc>
        <w:tc>
          <w:tcPr>
            <w:tcW w:w="2045" w:type="pct"/>
          </w:tcPr>
          <w:p w14:paraId="28D6CD6F" w14:textId="77777777" w:rsidR="00397861" w:rsidRPr="003F5F34" w:rsidRDefault="00397861" w:rsidP="00397861">
            <w:r w:rsidRPr="003F5F34">
              <w:t xml:space="preserve">HEIs will need to be able to </w:t>
            </w:r>
            <w:r w:rsidRPr="003F5F34">
              <w:rPr>
                <w:b/>
                <w:bCs/>
              </w:rPr>
              <w:t>verify the eligibility of delayed outputs in the event of audit.</w:t>
            </w:r>
            <w:r w:rsidRPr="003F5F34">
              <w:t xml:space="preserve"> … Outputs determined to be ineligible through audit will be removed from the submission and an unclassified score added to the profile to account for the ‘missing’ output.</w:t>
            </w:r>
          </w:p>
        </w:tc>
        <w:tc>
          <w:tcPr>
            <w:tcW w:w="469" w:type="pct"/>
          </w:tcPr>
          <w:p w14:paraId="5393EE6B" w14:textId="77777777" w:rsidR="00397861" w:rsidRPr="003F5F34" w:rsidRDefault="00397861" w:rsidP="00397861">
            <w:pPr>
              <w:jc w:val="center"/>
            </w:pPr>
            <w:r w:rsidRPr="003F5F34">
              <w:t>34</w:t>
            </w:r>
          </w:p>
        </w:tc>
      </w:tr>
      <w:tr w:rsidR="00397861" w:rsidRPr="003F5F34" w14:paraId="21509B64" w14:textId="77777777" w:rsidTr="00397861">
        <w:trPr>
          <w:jc w:val="center"/>
        </w:trPr>
        <w:tc>
          <w:tcPr>
            <w:tcW w:w="388" w:type="pct"/>
          </w:tcPr>
          <w:p w14:paraId="2894D2B1" w14:textId="77777777" w:rsidR="00397861" w:rsidRPr="003F5F34" w:rsidRDefault="00397861" w:rsidP="00397861">
            <w:pPr>
              <w:jc w:val="center"/>
            </w:pPr>
            <w:r w:rsidRPr="003F5F34">
              <w:t>45</w:t>
            </w:r>
          </w:p>
        </w:tc>
        <w:tc>
          <w:tcPr>
            <w:tcW w:w="2098" w:type="pct"/>
          </w:tcPr>
          <w:p w14:paraId="7063A33E" w14:textId="77777777" w:rsidR="00397861" w:rsidRPr="003F5F34" w:rsidRDefault="00397861" w:rsidP="00397861">
            <w:r w:rsidRPr="003F5F34">
              <w:t>We will aim to assess compliance with the REF 2021 open access policy, as described in the following paragraph, in the first quarter of 2021. …</w:t>
            </w:r>
          </w:p>
        </w:tc>
        <w:tc>
          <w:tcPr>
            <w:tcW w:w="2045" w:type="pct"/>
          </w:tcPr>
          <w:p w14:paraId="397A84A6" w14:textId="77777777" w:rsidR="00397861" w:rsidRPr="003F5F34" w:rsidRDefault="00397861" w:rsidP="00397861">
            <w:r w:rsidRPr="003F5F34">
              <w:rPr>
                <w:b/>
                <w:bCs/>
              </w:rPr>
              <w:t>September – November 2021</w:t>
            </w:r>
            <w:r w:rsidRPr="003F5F34">
              <w:t>: Audit of open access process for selected HEIs; sample audit of open access status of outputs;</w:t>
            </w:r>
          </w:p>
        </w:tc>
        <w:tc>
          <w:tcPr>
            <w:tcW w:w="469" w:type="pct"/>
          </w:tcPr>
          <w:p w14:paraId="2C3FA95A" w14:textId="77777777" w:rsidR="00397861" w:rsidRPr="003F5F34" w:rsidRDefault="00397861" w:rsidP="00397861">
            <w:pPr>
              <w:jc w:val="center"/>
            </w:pPr>
            <w:r w:rsidRPr="003F5F34">
              <w:t>Annex D</w:t>
            </w:r>
          </w:p>
        </w:tc>
      </w:tr>
      <w:tr w:rsidR="00397861" w:rsidRPr="003F5F34" w14:paraId="6BAA0EA1" w14:textId="77777777" w:rsidTr="00397861">
        <w:trPr>
          <w:jc w:val="center"/>
        </w:trPr>
        <w:tc>
          <w:tcPr>
            <w:tcW w:w="388" w:type="pct"/>
          </w:tcPr>
          <w:p w14:paraId="2C661FEC" w14:textId="77777777" w:rsidR="00397861" w:rsidRPr="003F5F34" w:rsidRDefault="00397861" w:rsidP="00397861">
            <w:pPr>
              <w:jc w:val="center"/>
            </w:pPr>
            <w:r w:rsidRPr="003F5F34">
              <w:t>46.</w:t>
            </w:r>
            <w:proofErr w:type="gramStart"/>
            <w:r w:rsidRPr="003F5F34">
              <w:t>b.i</w:t>
            </w:r>
            <w:proofErr w:type="gramEnd"/>
          </w:p>
        </w:tc>
        <w:tc>
          <w:tcPr>
            <w:tcW w:w="2098" w:type="pct"/>
          </w:tcPr>
          <w:p w14:paraId="64E37D58" w14:textId="77777777" w:rsidR="00397861" w:rsidRPr="003F5F34" w:rsidRDefault="00397861" w:rsidP="00397861">
            <w:r w:rsidRPr="003F5F34">
              <w:t>The number of ‘other’ exceptions used (a higher proportion of ‘other’ exceptions will lead to a higher risk score). …</w:t>
            </w:r>
          </w:p>
        </w:tc>
        <w:tc>
          <w:tcPr>
            <w:tcW w:w="2045" w:type="pct"/>
          </w:tcPr>
          <w:p w14:paraId="064C864B" w14:textId="77777777" w:rsidR="00397861" w:rsidRPr="003F5F34" w:rsidRDefault="00397861" w:rsidP="00397861">
            <w:pPr>
              <w:rPr>
                <w:i/>
                <w:iCs/>
              </w:rPr>
            </w:pPr>
            <w:r w:rsidRPr="003F5F34">
              <w:rPr>
                <w:i/>
                <w:iCs/>
              </w:rPr>
              <w:t>In line with the revised guidance on open access, the original paragraph should now be read as follows:</w:t>
            </w:r>
          </w:p>
          <w:p w14:paraId="40C89F3F" w14:textId="77777777" w:rsidR="00397861" w:rsidRPr="003F5F34" w:rsidRDefault="00397861" w:rsidP="00397861">
            <w:pPr>
              <w:rPr>
                <w:i/>
                <w:iCs/>
              </w:rPr>
            </w:pPr>
          </w:p>
          <w:p w14:paraId="6B920FF9" w14:textId="77777777" w:rsidR="00397861" w:rsidRPr="003F5F34" w:rsidRDefault="00397861" w:rsidP="00397861">
            <w:r w:rsidRPr="003F5F34">
              <w:t xml:space="preserve">The number of ‘other’ exceptions used </w:t>
            </w:r>
            <w:r w:rsidRPr="003F5F34">
              <w:rPr>
                <w:b/>
                <w:bCs/>
              </w:rPr>
              <w:t>for in-scope outputs made publicly available before 2020</w:t>
            </w:r>
            <w:r w:rsidRPr="003F5F34">
              <w:t xml:space="preserve"> (a higher proportion of ‘other’ exceptions will lead to a higher risk score). …</w:t>
            </w:r>
          </w:p>
        </w:tc>
        <w:tc>
          <w:tcPr>
            <w:tcW w:w="469" w:type="pct"/>
          </w:tcPr>
          <w:p w14:paraId="5D7BA65C" w14:textId="77777777" w:rsidR="00397861" w:rsidRPr="003F5F34" w:rsidRDefault="00397861" w:rsidP="00397861">
            <w:pPr>
              <w:jc w:val="center"/>
            </w:pPr>
            <w:r w:rsidRPr="003F5F34">
              <w:t>43</w:t>
            </w:r>
          </w:p>
        </w:tc>
      </w:tr>
      <w:tr w:rsidR="00397861" w:rsidRPr="003F5F34" w14:paraId="6C5DD4F3" w14:textId="77777777" w:rsidTr="00397861">
        <w:trPr>
          <w:jc w:val="center"/>
        </w:trPr>
        <w:tc>
          <w:tcPr>
            <w:tcW w:w="388" w:type="pct"/>
          </w:tcPr>
          <w:p w14:paraId="76003650" w14:textId="77777777" w:rsidR="00397861" w:rsidRPr="003F5F34" w:rsidRDefault="00397861" w:rsidP="00397861">
            <w:pPr>
              <w:jc w:val="center"/>
            </w:pPr>
            <w:r w:rsidRPr="003F5F34">
              <w:t>51</w:t>
            </w:r>
          </w:p>
        </w:tc>
        <w:tc>
          <w:tcPr>
            <w:tcW w:w="2098" w:type="pct"/>
          </w:tcPr>
          <w:p w14:paraId="013096C6" w14:textId="77777777" w:rsidR="00397861" w:rsidRPr="003F5F34" w:rsidRDefault="00397861" w:rsidP="00397861">
            <w:r w:rsidRPr="003F5F34">
              <w:t xml:space="preserve">The ‘Guidance on submissions’ (paragraph 255a) sets out the grounds for using the ‘other’ exception. HEIs should reference this </w:t>
            </w:r>
            <w:proofErr w:type="gramStart"/>
            <w:r w:rsidRPr="003F5F34">
              <w:t>guidance, and</w:t>
            </w:r>
            <w:proofErr w:type="gramEnd"/>
            <w:r w:rsidRPr="003F5F34">
              <w:t xml:space="preserve"> use this exception only in circumstances that they deem appropriate. Where the ‘other’ exception is used, HEIs should expect to be able to justify their decision to use the exception, in the context of both of the ‘Guidance on submissions’ and their own process for managing open access.</w:t>
            </w:r>
          </w:p>
        </w:tc>
        <w:tc>
          <w:tcPr>
            <w:tcW w:w="2045" w:type="pct"/>
          </w:tcPr>
          <w:p w14:paraId="4014D936" w14:textId="77777777" w:rsidR="00397861" w:rsidRPr="003F5F34" w:rsidRDefault="00397861" w:rsidP="00397861">
            <w:pPr>
              <w:rPr>
                <w:b/>
                <w:bCs/>
              </w:rPr>
            </w:pPr>
            <w:r w:rsidRPr="003F5F34">
              <w:rPr>
                <w:b/>
                <w:bCs/>
              </w:rPr>
              <w:t xml:space="preserve">Where it has not been possible for an output that is in scope (as defined at paragraph 223 of the ‘Guidance on submissions’) of the open access requirements to meet these requirements due to COVID-19, the institution may apply the ‘other exception’. </w:t>
            </w:r>
            <w:r w:rsidRPr="003F5F34">
              <w:t xml:space="preserve">This exception is described at paragraph 255.a. of the ‘Guidance on </w:t>
            </w:r>
            <w:proofErr w:type="gramStart"/>
            <w:r w:rsidRPr="003F5F34">
              <w:t>submissions’</w:t>
            </w:r>
            <w:proofErr w:type="gramEnd"/>
            <w:r w:rsidRPr="003F5F34">
              <w:t xml:space="preserve">. </w:t>
            </w:r>
            <w:r w:rsidRPr="003F5F34">
              <w:rPr>
                <w:b/>
                <w:bCs/>
              </w:rPr>
              <w:t xml:space="preserve">This includes effects due to individual circumstances (such as ill health, caring responsibilities); other personal circumstances related to COVID-19 (such as furloughed staff, health-related or clinical staff </w:t>
            </w:r>
            <w:r w:rsidRPr="003F5F34">
              <w:rPr>
                <w:b/>
                <w:bCs/>
              </w:rPr>
              <w:lastRenderedPageBreak/>
              <w:t xml:space="preserve">diverted to frontline services, staff resource diverted to other priority areas within the HEI in response to COVID-19); and/or external factors related to COVID-19. </w:t>
            </w:r>
          </w:p>
          <w:p w14:paraId="7ADDB7B1" w14:textId="77777777" w:rsidR="00397861" w:rsidRPr="003F5F34" w:rsidRDefault="00397861" w:rsidP="00397861">
            <w:pPr>
              <w:rPr>
                <w:b/>
                <w:bCs/>
              </w:rPr>
            </w:pPr>
          </w:p>
          <w:p w14:paraId="26DD0D1E" w14:textId="77777777" w:rsidR="00397861" w:rsidRPr="003F5F34" w:rsidRDefault="00397861" w:rsidP="00397861">
            <w:r w:rsidRPr="003F5F34">
              <w:rPr>
                <w:b/>
                <w:bCs/>
              </w:rPr>
              <w:t>HEIs should ensure they are able to verify the use of this exception in the event of audit.</w:t>
            </w:r>
            <w:r w:rsidRPr="003F5F34">
              <w:t xml:space="preserve"> As set out in the ‘Audit guidance’, evidence may be requested at the level of individual outputs in relation to the compliance or exception status of a submitted output. …</w:t>
            </w:r>
          </w:p>
        </w:tc>
        <w:tc>
          <w:tcPr>
            <w:tcW w:w="469" w:type="pct"/>
          </w:tcPr>
          <w:p w14:paraId="094D0FA5" w14:textId="77777777" w:rsidR="00397861" w:rsidRPr="003F5F34" w:rsidRDefault="00397861" w:rsidP="00397861">
            <w:pPr>
              <w:jc w:val="center"/>
            </w:pPr>
            <w:r w:rsidRPr="003F5F34">
              <w:lastRenderedPageBreak/>
              <w:t>41-2</w:t>
            </w:r>
          </w:p>
        </w:tc>
      </w:tr>
      <w:tr w:rsidR="00397861" w:rsidRPr="003F5F34" w14:paraId="12FB9F95" w14:textId="77777777" w:rsidTr="00397861">
        <w:trPr>
          <w:jc w:val="center"/>
        </w:trPr>
        <w:tc>
          <w:tcPr>
            <w:tcW w:w="388" w:type="pct"/>
          </w:tcPr>
          <w:p w14:paraId="66BF6E54" w14:textId="77777777" w:rsidR="00397861" w:rsidRPr="003F5F34" w:rsidRDefault="00397861" w:rsidP="00397861">
            <w:pPr>
              <w:jc w:val="center"/>
            </w:pPr>
            <w:r w:rsidRPr="003F5F34">
              <w:t>57</w:t>
            </w:r>
          </w:p>
        </w:tc>
        <w:tc>
          <w:tcPr>
            <w:tcW w:w="2098" w:type="pct"/>
          </w:tcPr>
          <w:p w14:paraId="58F876B0" w14:textId="77777777" w:rsidR="00397861" w:rsidRPr="003F5F34" w:rsidRDefault="00397861" w:rsidP="00397861">
            <w:r w:rsidRPr="003F5F34">
              <w:t>The REF team will audit a sample of impact case studies, including some case studies submitted by each HEI (in one or more UOAs). … We will seek to verify the eligibility of impact case studies and corroborate key claims made about the impacts.</w:t>
            </w:r>
          </w:p>
        </w:tc>
        <w:tc>
          <w:tcPr>
            <w:tcW w:w="2045" w:type="pct"/>
          </w:tcPr>
          <w:p w14:paraId="4EEE2689" w14:textId="77777777" w:rsidR="00397861" w:rsidRPr="003F5F34" w:rsidRDefault="00397861" w:rsidP="00397861">
            <w:pPr>
              <w:rPr>
                <w:b/>
                <w:bCs/>
              </w:rPr>
            </w:pPr>
            <w:r w:rsidRPr="003F5F34">
              <w:rPr>
                <w:b/>
                <w:bCs/>
              </w:rPr>
              <w:t xml:space="preserve">Where outputs and impact case studies are identified for audit as part of our existing </w:t>
            </w:r>
            <w:proofErr w:type="gramStart"/>
            <w:r w:rsidRPr="003F5F34">
              <w:rPr>
                <w:b/>
                <w:bCs/>
              </w:rPr>
              <w:t>approach, and</w:t>
            </w:r>
            <w:proofErr w:type="gramEnd"/>
            <w:r w:rsidRPr="003F5F34">
              <w:rPr>
                <w:b/>
                <w:bCs/>
              </w:rPr>
              <w:t xml:space="preserve"> are submitted with affected output or case study statements, we will seek to verify information provided in the statements alongside wider data verification of the output or case study.</w:t>
            </w:r>
          </w:p>
        </w:tc>
        <w:tc>
          <w:tcPr>
            <w:tcW w:w="469" w:type="pct"/>
          </w:tcPr>
          <w:p w14:paraId="2149457D" w14:textId="77777777" w:rsidR="00397861" w:rsidRPr="003F5F34" w:rsidRDefault="00397861" w:rsidP="00397861">
            <w:pPr>
              <w:jc w:val="center"/>
            </w:pPr>
            <w:r w:rsidRPr="003F5F34">
              <w:t>87.a.</w:t>
            </w:r>
          </w:p>
        </w:tc>
      </w:tr>
      <w:tr w:rsidR="00397861" w:rsidRPr="003F5F34" w14:paraId="52617B74" w14:textId="77777777" w:rsidTr="00397861">
        <w:trPr>
          <w:jc w:val="center"/>
        </w:trPr>
        <w:tc>
          <w:tcPr>
            <w:tcW w:w="388" w:type="pct"/>
          </w:tcPr>
          <w:p w14:paraId="5A25E26E" w14:textId="77777777" w:rsidR="00397861" w:rsidRPr="003F5F34" w:rsidRDefault="00397861" w:rsidP="00397861">
            <w:pPr>
              <w:jc w:val="center"/>
            </w:pPr>
            <w:r w:rsidRPr="003F5F34">
              <w:t>58</w:t>
            </w:r>
          </w:p>
        </w:tc>
        <w:tc>
          <w:tcPr>
            <w:tcW w:w="2098" w:type="pct"/>
          </w:tcPr>
          <w:p w14:paraId="7A6C84DA" w14:textId="77777777" w:rsidR="00397861" w:rsidRPr="003F5F34" w:rsidRDefault="00397861" w:rsidP="00397861">
            <w:r w:rsidRPr="003F5F34">
              <w:t xml:space="preserve">Each submitted impact case study should include all elements as described in the REF3 data requirements in paragraphs 327-330 of the ‘Guidance on </w:t>
            </w:r>
            <w:proofErr w:type="gramStart"/>
            <w:r w:rsidRPr="003F5F34">
              <w:t>submissions’</w:t>
            </w:r>
            <w:proofErr w:type="gramEnd"/>
            <w:r w:rsidRPr="003F5F34">
              <w:t>.</w:t>
            </w:r>
          </w:p>
        </w:tc>
        <w:tc>
          <w:tcPr>
            <w:tcW w:w="2045" w:type="pct"/>
          </w:tcPr>
          <w:p w14:paraId="303198CE" w14:textId="77777777" w:rsidR="00397861" w:rsidRPr="003F5F34" w:rsidRDefault="00397861" w:rsidP="00397861">
            <w:pPr>
              <w:rPr>
                <w:b/>
                <w:bCs/>
              </w:rPr>
            </w:pPr>
            <w:r w:rsidRPr="003F5F34">
              <w:rPr>
                <w:b/>
                <w:bCs/>
              </w:rPr>
              <w:t>Where a delayed output is submitted that is not yet in the public domain in its final form, an optional statement (max. 100 words) may be provided to explain the form of the submitted output to the panels. A statement should only be provided in this circumstance; panels do not expect a statement to be provided for all delayed outputs</w:t>
            </w:r>
          </w:p>
        </w:tc>
        <w:tc>
          <w:tcPr>
            <w:tcW w:w="469" w:type="pct"/>
          </w:tcPr>
          <w:p w14:paraId="79BFE92E" w14:textId="77777777" w:rsidR="00397861" w:rsidRPr="003F5F34" w:rsidRDefault="00397861" w:rsidP="00397861">
            <w:pPr>
              <w:jc w:val="center"/>
            </w:pPr>
            <w:r w:rsidRPr="003F5F34">
              <w:t>35</w:t>
            </w:r>
          </w:p>
        </w:tc>
      </w:tr>
      <w:tr w:rsidR="00397861" w:rsidRPr="003F5F34" w14:paraId="63DD84A5" w14:textId="77777777" w:rsidTr="00397861">
        <w:trPr>
          <w:jc w:val="center"/>
        </w:trPr>
        <w:tc>
          <w:tcPr>
            <w:tcW w:w="388" w:type="pct"/>
          </w:tcPr>
          <w:p w14:paraId="00C9E0CB" w14:textId="77777777" w:rsidR="00397861" w:rsidRPr="003F5F34" w:rsidRDefault="00397861" w:rsidP="00397861">
            <w:pPr>
              <w:jc w:val="center"/>
            </w:pPr>
            <w:r w:rsidRPr="003F5F34">
              <w:t>59</w:t>
            </w:r>
          </w:p>
        </w:tc>
        <w:tc>
          <w:tcPr>
            <w:tcW w:w="2098" w:type="pct"/>
          </w:tcPr>
          <w:p w14:paraId="5BC18271" w14:textId="77777777" w:rsidR="00397861" w:rsidRPr="003F5F34" w:rsidRDefault="00397861" w:rsidP="00397861">
            <w:r w:rsidRPr="003F5F34">
              <w:t>Impact case studies must meet the eligibility criteria set out in the ‘Guidance on submissions’ at paragraph 311.</w:t>
            </w:r>
          </w:p>
        </w:tc>
        <w:tc>
          <w:tcPr>
            <w:tcW w:w="2045" w:type="pct"/>
          </w:tcPr>
          <w:p w14:paraId="29B619D2" w14:textId="77777777" w:rsidR="00397861" w:rsidRPr="003F5F34" w:rsidRDefault="00397861" w:rsidP="00397861">
            <w:r w:rsidRPr="003F5F34">
              <w:t>[See row: PC 1]</w:t>
            </w:r>
          </w:p>
        </w:tc>
        <w:tc>
          <w:tcPr>
            <w:tcW w:w="469" w:type="pct"/>
          </w:tcPr>
          <w:p w14:paraId="4A095A64" w14:textId="77777777" w:rsidR="00397861" w:rsidRPr="003F5F34" w:rsidRDefault="00397861" w:rsidP="00397861">
            <w:pPr>
              <w:jc w:val="center"/>
            </w:pPr>
          </w:p>
        </w:tc>
      </w:tr>
      <w:tr w:rsidR="00397861" w:rsidRPr="003F5F34" w14:paraId="28349DC7" w14:textId="77777777" w:rsidTr="00397861">
        <w:trPr>
          <w:jc w:val="center"/>
        </w:trPr>
        <w:tc>
          <w:tcPr>
            <w:tcW w:w="388" w:type="pct"/>
          </w:tcPr>
          <w:p w14:paraId="4436915F" w14:textId="77777777" w:rsidR="00397861" w:rsidRPr="003F5F34" w:rsidRDefault="00397861" w:rsidP="00397861">
            <w:pPr>
              <w:jc w:val="center"/>
            </w:pPr>
            <w:r w:rsidRPr="003F5F34">
              <w:t>60</w:t>
            </w:r>
          </w:p>
        </w:tc>
        <w:tc>
          <w:tcPr>
            <w:tcW w:w="2098" w:type="pct"/>
          </w:tcPr>
          <w:p w14:paraId="7C73C4C5" w14:textId="77777777" w:rsidR="00397861" w:rsidRPr="003F5F34" w:rsidRDefault="00397861" w:rsidP="00397861">
            <w:r w:rsidRPr="003F5F34">
              <w:t xml:space="preserve">Within the sample of impact case studies to be audited, we will verify the dates when the underpinning research was published (with reference to the outputs listed in section B3 of the impact template), to establish that: </w:t>
            </w:r>
          </w:p>
          <w:p w14:paraId="0050C2EA" w14:textId="77777777" w:rsidR="00397861" w:rsidRPr="003F5F34" w:rsidRDefault="00397861" w:rsidP="00397861">
            <w:pPr>
              <w:pStyle w:val="ListParagraph"/>
              <w:numPr>
                <w:ilvl w:val="0"/>
                <w:numId w:val="16"/>
              </w:numPr>
              <w:spacing w:line="240" w:lineRule="auto"/>
              <w:ind w:left="458"/>
              <w:rPr>
                <w:b w:val="0"/>
                <w:bCs/>
              </w:rPr>
            </w:pPr>
            <w:r w:rsidRPr="003F5F34">
              <w:rPr>
                <w:b w:val="0"/>
                <w:bCs/>
              </w:rPr>
              <w:t xml:space="preserve">The research was undertaken by staff working in the unit in the period 1 January 2000 to 31 December 2020. </w:t>
            </w:r>
          </w:p>
          <w:p w14:paraId="35523C89" w14:textId="77777777" w:rsidR="00397861" w:rsidRPr="003F5F34" w:rsidRDefault="00397861" w:rsidP="00397861">
            <w:pPr>
              <w:pStyle w:val="ListParagraph"/>
              <w:numPr>
                <w:ilvl w:val="0"/>
                <w:numId w:val="16"/>
              </w:numPr>
              <w:spacing w:line="240" w:lineRule="auto"/>
              <w:ind w:left="458"/>
            </w:pPr>
            <w:r w:rsidRPr="003F5F34">
              <w:rPr>
                <w:b w:val="0"/>
                <w:bCs/>
              </w:rPr>
              <w:t xml:space="preserve">The research outputs were first made publicly available in the </w:t>
            </w:r>
            <w:r w:rsidRPr="003F5F34">
              <w:rPr>
                <w:b w:val="0"/>
                <w:bCs/>
              </w:rPr>
              <w:lastRenderedPageBreak/>
              <w:t>period 1 January 2000 to 31 December 2020</w:t>
            </w:r>
          </w:p>
        </w:tc>
        <w:tc>
          <w:tcPr>
            <w:tcW w:w="2045" w:type="pct"/>
          </w:tcPr>
          <w:p w14:paraId="2EE93016" w14:textId="77777777" w:rsidR="00397861" w:rsidRPr="003F5F34" w:rsidRDefault="00397861" w:rsidP="00397861">
            <w:r w:rsidRPr="003F5F34">
              <w:lastRenderedPageBreak/>
              <w:t xml:space="preserve">The period for the underpinning research remains as 1 January 2000 to 31 December 2020. </w:t>
            </w:r>
            <w:r w:rsidRPr="003F5F34">
              <w:rPr>
                <w:b/>
                <w:bCs/>
              </w:rPr>
              <w:t>Where the final version of an output has been delayed due to COVID-19, and is therefore not in the public domain by the end of this period, it may be listed as an underpinning research reference in accordance with the provisions in place for the submission of delayed outputs in REF2</w:t>
            </w:r>
            <w:r w:rsidRPr="003F5F34">
              <w:t xml:space="preserve"> …</w:t>
            </w:r>
          </w:p>
          <w:p w14:paraId="42E67576" w14:textId="77777777" w:rsidR="00397861" w:rsidRPr="003F5F34" w:rsidRDefault="00397861" w:rsidP="00397861"/>
          <w:p w14:paraId="1E3515EC" w14:textId="77777777" w:rsidR="00397861" w:rsidRPr="003F5F34" w:rsidRDefault="00397861" w:rsidP="00397861">
            <w:r w:rsidRPr="003F5F34">
              <w:rPr>
                <w:b/>
                <w:bCs/>
              </w:rPr>
              <w:t>HEIs will need to be able to verify that any delayed outputs listed as underpinning research are included in accordance with the provisions at paragraph 29</w:t>
            </w:r>
            <w:r w:rsidRPr="003F5F34">
              <w:t>.</w:t>
            </w:r>
          </w:p>
        </w:tc>
        <w:tc>
          <w:tcPr>
            <w:tcW w:w="469" w:type="pct"/>
          </w:tcPr>
          <w:p w14:paraId="7596C158" w14:textId="77777777" w:rsidR="00397861" w:rsidRPr="003F5F34" w:rsidRDefault="00397861" w:rsidP="00397861">
            <w:pPr>
              <w:jc w:val="center"/>
            </w:pPr>
            <w:r w:rsidRPr="003F5F34">
              <w:lastRenderedPageBreak/>
              <w:t>49</w:t>
            </w:r>
          </w:p>
          <w:p w14:paraId="3384392B" w14:textId="77777777" w:rsidR="00397861" w:rsidRPr="003F5F34" w:rsidRDefault="00397861" w:rsidP="00397861">
            <w:pPr>
              <w:jc w:val="center"/>
            </w:pPr>
          </w:p>
          <w:p w14:paraId="7291E52F" w14:textId="77777777" w:rsidR="00397861" w:rsidRPr="003F5F34" w:rsidRDefault="00397861" w:rsidP="00397861">
            <w:pPr>
              <w:jc w:val="center"/>
            </w:pPr>
          </w:p>
          <w:p w14:paraId="62122F9D" w14:textId="77777777" w:rsidR="00397861" w:rsidRPr="003F5F34" w:rsidRDefault="00397861" w:rsidP="00397861">
            <w:pPr>
              <w:jc w:val="center"/>
            </w:pPr>
          </w:p>
          <w:p w14:paraId="6EB97778" w14:textId="77777777" w:rsidR="00397861" w:rsidRPr="003F5F34" w:rsidRDefault="00397861" w:rsidP="00397861">
            <w:pPr>
              <w:jc w:val="center"/>
            </w:pPr>
          </w:p>
          <w:p w14:paraId="5C2923D6" w14:textId="77777777" w:rsidR="00397861" w:rsidRPr="003F5F34" w:rsidRDefault="00397861" w:rsidP="00397861">
            <w:pPr>
              <w:jc w:val="center"/>
            </w:pPr>
          </w:p>
          <w:p w14:paraId="3150C2A7" w14:textId="77777777" w:rsidR="00397861" w:rsidRPr="003F5F34" w:rsidRDefault="00397861" w:rsidP="00397861">
            <w:pPr>
              <w:jc w:val="center"/>
            </w:pPr>
          </w:p>
          <w:p w14:paraId="02484874" w14:textId="77777777" w:rsidR="00397861" w:rsidRPr="003F5F34" w:rsidRDefault="00397861" w:rsidP="00397861">
            <w:pPr>
              <w:jc w:val="center"/>
            </w:pPr>
          </w:p>
          <w:p w14:paraId="2A103E11" w14:textId="77777777" w:rsidR="00397861" w:rsidRPr="003F5F34" w:rsidRDefault="00397861" w:rsidP="00397861">
            <w:pPr>
              <w:jc w:val="center"/>
            </w:pPr>
          </w:p>
          <w:p w14:paraId="4C29E74C" w14:textId="77777777" w:rsidR="00397861" w:rsidRPr="003F5F34" w:rsidRDefault="00397861" w:rsidP="00397861">
            <w:pPr>
              <w:jc w:val="center"/>
            </w:pPr>
          </w:p>
          <w:p w14:paraId="7E9B2646" w14:textId="77777777" w:rsidR="00397861" w:rsidRPr="003F5F34" w:rsidRDefault="00397861" w:rsidP="00397861">
            <w:pPr>
              <w:jc w:val="center"/>
            </w:pPr>
          </w:p>
          <w:p w14:paraId="21183934" w14:textId="77777777" w:rsidR="00397861" w:rsidRPr="003F5F34" w:rsidRDefault="00397861" w:rsidP="00397861">
            <w:pPr>
              <w:jc w:val="center"/>
            </w:pPr>
          </w:p>
          <w:p w14:paraId="3957376A" w14:textId="77777777" w:rsidR="00397861" w:rsidRPr="003F5F34" w:rsidRDefault="00397861" w:rsidP="00397861">
            <w:pPr>
              <w:jc w:val="center"/>
            </w:pPr>
          </w:p>
          <w:p w14:paraId="61F5A7D6" w14:textId="77777777" w:rsidR="00397861" w:rsidRPr="003F5F34" w:rsidRDefault="00397861" w:rsidP="00397861">
            <w:pPr>
              <w:jc w:val="center"/>
            </w:pPr>
            <w:r w:rsidRPr="003F5F34">
              <w:t>52</w:t>
            </w:r>
          </w:p>
        </w:tc>
      </w:tr>
      <w:tr w:rsidR="00397861" w:rsidRPr="003F5F34" w14:paraId="1DCE5CBA" w14:textId="77777777" w:rsidTr="00397861">
        <w:trPr>
          <w:jc w:val="center"/>
        </w:trPr>
        <w:tc>
          <w:tcPr>
            <w:tcW w:w="388" w:type="pct"/>
          </w:tcPr>
          <w:p w14:paraId="05959764" w14:textId="77777777" w:rsidR="00397861" w:rsidRPr="003F5F34" w:rsidRDefault="00397861" w:rsidP="00397861">
            <w:pPr>
              <w:jc w:val="center"/>
            </w:pPr>
            <w:r w:rsidRPr="003F5F34">
              <w:lastRenderedPageBreak/>
              <w:t>65</w:t>
            </w:r>
          </w:p>
        </w:tc>
        <w:tc>
          <w:tcPr>
            <w:tcW w:w="2098" w:type="pct"/>
          </w:tcPr>
          <w:p w14:paraId="56DD7E5D" w14:textId="77777777" w:rsidR="00397861" w:rsidRPr="003F5F34" w:rsidRDefault="00397861" w:rsidP="00397861">
            <w:r w:rsidRPr="003F5F34">
              <w:t>… Evidence [to verify the eligibility of the case study]</w:t>
            </w:r>
            <w:r w:rsidRPr="003F5F34">
              <w:rPr>
                <w:i/>
                <w:iCs/>
              </w:rPr>
              <w:t xml:space="preserve"> </w:t>
            </w:r>
            <w:r w:rsidRPr="003F5F34">
              <w:t>may include relevant extracts of staff contracts, records of research grants, or other appropriate evidence. Information in the additional contextual data section within the submissions system may be compared with the UKRI Gateway to Research and used as evidence of the period during which the research was produced.</w:t>
            </w:r>
          </w:p>
        </w:tc>
        <w:tc>
          <w:tcPr>
            <w:tcW w:w="2045" w:type="pct"/>
          </w:tcPr>
          <w:p w14:paraId="0A45A7FB" w14:textId="77777777" w:rsidR="00397861" w:rsidRPr="003021EA" w:rsidRDefault="00397861" w:rsidP="00397861">
            <w:pPr>
              <w:rPr>
                <w:b/>
                <w:bCs/>
              </w:rPr>
            </w:pPr>
            <w:r w:rsidRPr="003021EA">
              <w:rPr>
                <w:b/>
                <w:bCs/>
              </w:rPr>
              <w:t>Where there are external effects on aspects of submissions due to COVID-19, such as delays to publications, cancelled events or activities, restricted access to buildings or facilities, and so on, appropriate evidence that the HEI might have consulted could include correspondence from the relevant third party about delays, cancellations or access issues, or evidence as to why correspondence could not be obtained (for example, where an organisation may have paused activity or closed). This is not an exhaustive or prescriptive list of examples.</w:t>
            </w:r>
          </w:p>
          <w:p w14:paraId="2D49F4C4" w14:textId="77777777" w:rsidR="00397861" w:rsidRPr="003021EA" w:rsidRDefault="00397861" w:rsidP="00397861">
            <w:pPr>
              <w:rPr>
                <w:b/>
                <w:bCs/>
              </w:rPr>
            </w:pPr>
          </w:p>
          <w:p w14:paraId="093FDFF8" w14:textId="77777777" w:rsidR="00397861" w:rsidRPr="003021EA" w:rsidRDefault="00397861" w:rsidP="00397861">
            <w:pPr>
              <w:rPr>
                <w:b/>
                <w:bCs/>
              </w:rPr>
            </w:pPr>
            <w:r w:rsidRPr="003021EA">
              <w:rPr>
                <w:b/>
                <w:bCs/>
              </w:rPr>
              <w:t>Regarding clear evidence that an output was expected to be in the public domain by the 31 December 2020, appropriate forms the HEI might have consulted could include publishing contracts, correspondence or other suitable evidence confirming the expected date of appearance.</w:t>
            </w:r>
          </w:p>
          <w:p w14:paraId="727FDB9F" w14:textId="77777777" w:rsidR="00397861" w:rsidRPr="003F5F34" w:rsidRDefault="00397861" w:rsidP="00397861"/>
        </w:tc>
        <w:tc>
          <w:tcPr>
            <w:tcW w:w="469" w:type="pct"/>
          </w:tcPr>
          <w:p w14:paraId="2E195B3F" w14:textId="77777777" w:rsidR="00397861" w:rsidRPr="003F5F34" w:rsidRDefault="00397861" w:rsidP="00397861">
            <w:pPr>
              <w:jc w:val="center"/>
            </w:pPr>
            <w:r w:rsidRPr="003F5F34">
              <w:t>89.</w:t>
            </w:r>
            <w:proofErr w:type="gramStart"/>
            <w:r w:rsidRPr="003F5F34">
              <w:t>c.-d.</w:t>
            </w:r>
            <w:proofErr w:type="gramEnd"/>
          </w:p>
        </w:tc>
      </w:tr>
      <w:tr w:rsidR="00397861" w:rsidRPr="003F5F34" w14:paraId="5B00F496" w14:textId="77777777" w:rsidTr="00397861">
        <w:trPr>
          <w:jc w:val="center"/>
        </w:trPr>
        <w:tc>
          <w:tcPr>
            <w:tcW w:w="388" w:type="pct"/>
          </w:tcPr>
          <w:p w14:paraId="10C80113" w14:textId="77777777" w:rsidR="00397861" w:rsidRPr="003F5F34" w:rsidRDefault="00397861" w:rsidP="00397861">
            <w:pPr>
              <w:jc w:val="center"/>
            </w:pPr>
            <w:r w:rsidRPr="003F5F34">
              <w:t>67</w:t>
            </w:r>
          </w:p>
        </w:tc>
        <w:tc>
          <w:tcPr>
            <w:tcW w:w="2098" w:type="pct"/>
          </w:tcPr>
          <w:p w14:paraId="63DDDD8A" w14:textId="77777777" w:rsidR="00397861" w:rsidRPr="003F5F34" w:rsidRDefault="00397861" w:rsidP="00397861">
            <w:r w:rsidRPr="003F5F34">
              <w:t>All outputs cited in this section must be capable of being made available to panels. If they are not available in the public domain or listed in REF2, the HEI must be able to provide them if requested by the REF team</w:t>
            </w:r>
          </w:p>
        </w:tc>
        <w:tc>
          <w:tcPr>
            <w:tcW w:w="2045" w:type="pct"/>
          </w:tcPr>
          <w:p w14:paraId="5188D458" w14:textId="77777777" w:rsidR="00397861" w:rsidRPr="003F5F34" w:rsidRDefault="00397861" w:rsidP="00397861">
            <w:pPr>
              <w:tabs>
                <w:tab w:val="left" w:pos="3119"/>
              </w:tabs>
              <w:rPr>
                <w:b/>
                <w:bCs/>
              </w:rPr>
            </w:pPr>
            <w:r w:rsidRPr="003F5F34">
              <w:rPr>
                <w:b/>
                <w:bCs/>
              </w:rPr>
              <w:t>Where a delayed output is listed in the research references section of an impact case study, institutions should ensure it is clearly identified as a delayed output – for example, by denoting this in square brackets after the reference: [delayed output].</w:t>
            </w:r>
          </w:p>
          <w:p w14:paraId="09470C50" w14:textId="77777777" w:rsidR="00397861" w:rsidRPr="003F5F34" w:rsidRDefault="00397861" w:rsidP="00397861">
            <w:pPr>
              <w:tabs>
                <w:tab w:val="left" w:pos="3119"/>
              </w:tabs>
              <w:rPr>
                <w:b/>
                <w:bCs/>
              </w:rPr>
            </w:pPr>
          </w:p>
          <w:p w14:paraId="05B01276" w14:textId="77777777" w:rsidR="00397861" w:rsidRPr="003F5F34" w:rsidRDefault="00397861" w:rsidP="00397861">
            <w:pPr>
              <w:rPr>
                <w:b/>
                <w:bCs/>
              </w:rPr>
            </w:pPr>
            <w:r w:rsidRPr="003F5F34">
              <w:t>All outputs cited as references to the research in impact case studies must be capable of being made available to panels.</w:t>
            </w:r>
          </w:p>
        </w:tc>
        <w:tc>
          <w:tcPr>
            <w:tcW w:w="469" w:type="pct"/>
          </w:tcPr>
          <w:p w14:paraId="4EC0F196" w14:textId="77777777" w:rsidR="00397861" w:rsidRPr="003F5F34" w:rsidRDefault="00397861" w:rsidP="00397861">
            <w:pPr>
              <w:jc w:val="center"/>
            </w:pPr>
            <w:r w:rsidRPr="003F5F34">
              <w:t>50-1</w:t>
            </w:r>
          </w:p>
        </w:tc>
      </w:tr>
      <w:tr w:rsidR="00397861" w:rsidRPr="003F5F34" w14:paraId="3C14CDD2" w14:textId="77777777" w:rsidTr="00397861">
        <w:trPr>
          <w:jc w:val="center"/>
        </w:trPr>
        <w:tc>
          <w:tcPr>
            <w:tcW w:w="388" w:type="pct"/>
          </w:tcPr>
          <w:p w14:paraId="4EB40A50" w14:textId="77777777" w:rsidR="00397861" w:rsidRPr="003F5F34" w:rsidRDefault="00397861" w:rsidP="00397861">
            <w:pPr>
              <w:jc w:val="center"/>
            </w:pPr>
            <w:r w:rsidRPr="003F5F34">
              <w:lastRenderedPageBreak/>
              <w:t>69</w:t>
            </w:r>
          </w:p>
        </w:tc>
        <w:tc>
          <w:tcPr>
            <w:tcW w:w="2098" w:type="pct"/>
          </w:tcPr>
          <w:p w14:paraId="6BFC8783" w14:textId="77777777" w:rsidR="00397861" w:rsidRPr="003F5F34" w:rsidRDefault="00397861" w:rsidP="00397861">
            <w:r w:rsidRPr="003F5F34">
              <w:t>Impact case studies can be audited at any time during the assessment period, with the bulk of requests occurring between March and June 2021.</w:t>
            </w:r>
          </w:p>
        </w:tc>
        <w:tc>
          <w:tcPr>
            <w:tcW w:w="2045" w:type="pct"/>
          </w:tcPr>
          <w:p w14:paraId="51E78E5F" w14:textId="77777777" w:rsidR="00397861" w:rsidRPr="003F5F34" w:rsidRDefault="00397861" w:rsidP="00397861">
            <w:pPr>
              <w:rPr>
                <w:i/>
                <w:iCs/>
              </w:rPr>
            </w:pPr>
            <w:r w:rsidRPr="003F5F34">
              <w:rPr>
                <w:i/>
                <w:iCs/>
              </w:rPr>
              <w:t>In line with the revised audit timetable, the original paragraph should now be read as follows:</w:t>
            </w:r>
          </w:p>
          <w:p w14:paraId="3B4DAE00" w14:textId="77777777" w:rsidR="00397861" w:rsidRPr="003F5F34" w:rsidRDefault="00397861" w:rsidP="00397861">
            <w:pPr>
              <w:rPr>
                <w:i/>
                <w:iCs/>
              </w:rPr>
            </w:pPr>
          </w:p>
          <w:p w14:paraId="2E190786" w14:textId="77777777" w:rsidR="00397861" w:rsidRPr="003F5F34" w:rsidRDefault="00397861" w:rsidP="00397861">
            <w:r w:rsidRPr="003F5F34">
              <w:t xml:space="preserve">Impact case studies can be audited at any time during the assessment period, with the bulk of requests occurring between </w:t>
            </w:r>
            <w:r w:rsidRPr="003F5F34">
              <w:rPr>
                <w:b/>
                <w:bCs/>
              </w:rPr>
              <w:t>July and November</w:t>
            </w:r>
            <w:r w:rsidRPr="003F5F34">
              <w:t xml:space="preserve"> 2021.</w:t>
            </w:r>
          </w:p>
        </w:tc>
        <w:tc>
          <w:tcPr>
            <w:tcW w:w="469" w:type="pct"/>
          </w:tcPr>
          <w:p w14:paraId="11426B23" w14:textId="77777777" w:rsidR="00397861" w:rsidRPr="003F5F34" w:rsidRDefault="00397861" w:rsidP="00397861">
            <w:pPr>
              <w:jc w:val="center"/>
            </w:pPr>
            <w:r w:rsidRPr="003F5F34">
              <w:t>Annex D</w:t>
            </w:r>
          </w:p>
        </w:tc>
      </w:tr>
      <w:tr w:rsidR="00397861" w:rsidRPr="003F5F34" w14:paraId="2C95D894" w14:textId="77777777" w:rsidTr="00397861">
        <w:trPr>
          <w:jc w:val="center"/>
        </w:trPr>
        <w:tc>
          <w:tcPr>
            <w:tcW w:w="388" w:type="pct"/>
          </w:tcPr>
          <w:p w14:paraId="0528BC4C" w14:textId="77777777" w:rsidR="00397861" w:rsidRPr="003F5F34" w:rsidRDefault="00397861" w:rsidP="00397861">
            <w:pPr>
              <w:jc w:val="center"/>
            </w:pPr>
            <w:r w:rsidRPr="003F5F34">
              <w:t>77</w:t>
            </w:r>
          </w:p>
        </w:tc>
        <w:tc>
          <w:tcPr>
            <w:tcW w:w="2098" w:type="pct"/>
          </w:tcPr>
          <w:p w14:paraId="06CC5C45" w14:textId="77777777" w:rsidR="00397861" w:rsidRPr="003F5F34" w:rsidRDefault="00397861" w:rsidP="00397861">
            <w:r>
              <w:t xml:space="preserve">[REF4] </w:t>
            </w:r>
            <w:r w:rsidRPr="003F5F34">
              <w:t>HEIs will be contacted with queries from February 2021 onwards. Requests will generally require a response within 10 working days unless otherwise specified.</w:t>
            </w:r>
          </w:p>
        </w:tc>
        <w:tc>
          <w:tcPr>
            <w:tcW w:w="2045" w:type="pct"/>
          </w:tcPr>
          <w:p w14:paraId="68FC806E" w14:textId="77777777" w:rsidR="00397861" w:rsidRPr="003F5F34" w:rsidRDefault="00397861" w:rsidP="00397861">
            <w:r w:rsidRPr="003F5F34">
              <w:rPr>
                <w:b/>
                <w:bCs/>
              </w:rPr>
              <w:t>September – November 2021</w:t>
            </w:r>
            <w:r w:rsidRPr="003F5F34">
              <w:t>: raise REF4 queries with HEIs</w:t>
            </w:r>
          </w:p>
        </w:tc>
        <w:tc>
          <w:tcPr>
            <w:tcW w:w="469" w:type="pct"/>
          </w:tcPr>
          <w:p w14:paraId="39D7F319" w14:textId="77777777" w:rsidR="00397861" w:rsidRPr="003F5F34" w:rsidRDefault="00397861" w:rsidP="00397861">
            <w:pPr>
              <w:jc w:val="center"/>
            </w:pPr>
            <w:r w:rsidRPr="003F5F34">
              <w:t>Annex D</w:t>
            </w:r>
          </w:p>
        </w:tc>
      </w:tr>
      <w:tr w:rsidR="00397861" w:rsidRPr="003F5F34" w14:paraId="1BD5B567" w14:textId="77777777" w:rsidTr="00397861">
        <w:trPr>
          <w:jc w:val="center"/>
        </w:trPr>
        <w:tc>
          <w:tcPr>
            <w:tcW w:w="388" w:type="pct"/>
          </w:tcPr>
          <w:p w14:paraId="0BA27F15" w14:textId="77777777" w:rsidR="00397861" w:rsidRPr="003F5F34" w:rsidRDefault="00397861" w:rsidP="00397861">
            <w:pPr>
              <w:jc w:val="center"/>
            </w:pPr>
            <w:r w:rsidRPr="003F5F34">
              <w:t>79</w:t>
            </w:r>
          </w:p>
        </w:tc>
        <w:tc>
          <w:tcPr>
            <w:tcW w:w="2098" w:type="pct"/>
          </w:tcPr>
          <w:p w14:paraId="73F20FE2" w14:textId="77777777" w:rsidR="00397861" w:rsidRPr="003F5F34" w:rsidRDefault="00397861" w:rsidP="00397861">
            <w:r w:rsidRPr="003F5F34">
              <w:t>We may seek to verify information included in the institutional level environment statement (REF5a) where sub-panels raise concerns.</w:t>
            </w:r>
          </w:p>
        </w:tc>
        <w:tc>
          <w:tcPr>
            <w:tcW w:w="2045" w:type="pct"/>
          </w:tcPr>
          <w:p w14:paraId="28584757" w14:textId="77777777" w:rsidR="00397861" w:rsidRPr="003F5F34" w:rsidRDefault="00397861" w:rsidP="00397861">
            <w:pPr>
              <w:rPr>
                <w:b/>
                <w:bCs/>
              </w:rPr>
            </w:pPr>
            <w:r w:rsidRPr="003F5F34">
              <w:rPr>
                <w:b/>
                <w:bCs/>
              </w:rPr>
              <w:t xml:space="preserve">In line with our existing approach of verifying information in REF5a </w:t>
            </w:r>
            <w:proofErr w:type="gramStart"/>
            <w:r w:rsidRPr="003F5F34">
              <w:rPr>
                <w:b/>
                <w:bCs/>
              </w:rPr>
              <w:t>on the basis of</w:t>
            </w:r>
            <w:proofErr w:type="gramEnd"/>
            <w:r w:rsidRPr="003F5F34">
              <w:rPr>
                <w:b/>
                <w:bCs/>
              </w:rPr>
              <w:t xml:space="preserve"> panel-instigated audit, we may seek to verify information included in the COVID-19 annex to REF5a.</w:t>
            </w:r>
          </w:p>
        </w:tc>
        <w:tc>
          <w:tcPr>
            <w:tcW w:w="469" w:type="pct"/>
          </w:tcPr>
          <w:p w14:paraId="5DB5A05B" w14:textId="77777777" w:rsidR="00397861" w:rsidRPr="003F5F34" w:rsidRDefault="00397861" w:rsidP="00397861">
            <w:pPr>
              <w:jc w:val="center"/>
            </w:pPr>
            <w:r w:rsidRPr="003F5F34">
              <w:t>87.b.</w:t>
            </w:r>
          </w:p>
        </w:tc>
      </w:tr>
      <w:tr w:rsidR="00397861" w:rsidRPr="003F5F34" w14:paraId="7629AD36" w14:textId="77777777" w:rsidTr="00397861">
        <w:trPr>
          <w:jc w:val="center"/>
        </w:trPr>
        <w:tc>
          <w:tcPr>
            <w:tcW w:w="388" w:type="pct"/>
          </w:tcPr>
          <w:p w14:paraId="709CEAEF" w14:textId="77777777" w:rsidR="00397861" w:rsidRPr="003F5F34" w:rsidRDefault="00397861" w:rsidP="00397861">
            <w:pPr>
              <w:jc w:val="center"/>
            </w:pPr>
            <w:r w:rsidRPr="003F5F34">
              <w:t>83</w:t>
            </w:r>
          </w:p>
        </w:tc>
        <w:tc>
          <w:tcPr>
            <w:tcW w:w="2098" w:type="pct"/>
          </w:tcPr>
          <w:p w14:paraId="4EEDCDB5" w14:textId="77777777" w:rsidR="00397861" w:rsidRPr="003F5F34" w:rsidRDefault="00397861" w:rsidP="00397861">
            <w:r w:rsidRPr="003F5F34">
              <w:t>Institutional-level environment statements and unit-level environment templates can be audited at any time during the assessment period with the bulk of requests occurring between March and June 2021. ...</w:t>
            </w:r>
          </w:p>
        </w:tc>
        <w:tc>
          <w:tcPr>
            <w:tcW w:w="2045" w:type="pct"/>
          </w:tcPr>
          <w:p w14:paraId="13F96E66" w14:textId="77777777" w:rsidR="00397861" w:rsidRPr="003F5F34" w:rsidRDefault="00397861" w:rsidP="00397861">
            <w:r w:rsidRPr="003F5F34">
              <w:rPr>
                <w:b/>
                <w:bCs/>
              </w:rPr>
              <w:t>September – November 2021</w:t>
            </w:r>
            <w:r w:rsidRPr="003F5F34">
              <w:t>: random sample of unit-level environment templates</w:t>
            </w:r>
          </w:p>
          <w:p w14:paraId="630D0A22" w14:textId="77777777" w:rsidR="00397861" w:rsidRPr="003F5F34" w:rsidRDefault="00397861" w:rsidP="00397861">
            <w:r w:rsidRPr="003F5F34">
              <w:rPr>
                <w:b/>
                <w:bCs/>
              </w:rPr>
              <w:t>September – December 2021</w:t>
            </w:r>
            <w:r w:rsidRPr="003F5F34">
              <w:t>: Second audit period for panel-instigated audit queries</w:t>
            </w:r>
          </w:p>
        </w:tc>
        <w:tc>
          <w:tcPr>
            <w:tcW w:w="469" w:type="pct"/>
          </w:tcPr>
          <w:p w14:paraId="064A9458" w14:textId="77777777" w:rsidR="00397861" w:rsidRPr="003F5F34" w:rsidRDefault="00397861" w:rsidP="00397861">
            <w:pPr>
              <w:jc w:val="center"/>
            </w:pPr>
            <w:r w:rsidRPr="003F5F34">
              <w:t>Annex D</w:t>
            </w:r>
          </w:p>
        </w:tc>
      </w:tr>
      <w:tr w:rsidR="00397861" w:rsidRPr="003F5F34" w14:paraId="646E218A" w14:textId="77777777" w:rsidTr="00397861">
        <w:trPr>
          <w:jc w:val="center"/>
        </w:trPr>
        <w:tc>
          <w:tcPr>
            <w:tcW w:w="388" w:type="pct"/>
          </w:tcPr>
          <w:p w14:paraId="37E6E821" w14:textId="77777777" w:rsidR="00397861" w:rsidRPr="003F5F34" w:rsidRDefault="00397861" w:rsidP="00397861">
            <w:pPr>
              <w:jc w:val="center"/>
            </w:pPr>
            <w:r w:rsidRPr="003F5F34">
              <w:t>85</w:t>
            </w:r>
          </w:p>
        </w:tc>
        <w:tc>
          <w:tcPr>
            <w:tcW w:w="2098" w:type="pct"/>
          </w:tcPr>
          <w:p w14:paraId="3064090A" w14:textId="77777777" w:rsidR="00397861" w:rsidRPr="003F5F34" w:rsidRDefault="00397861" w:rsidP="00397861">
            <w:r w:rsidRPr="003F5F34">
              <w:t>... EDAP may request further details during the process of reviewing the request, and all submitted information will be subject to audit during the assessment year (2021).</w:t>
            </w:r>
          </w:p>
        </w:tc>
        <w:tc>
          <w:tcPr>
            <w:tcW w:w="2045" w:type="pct"/>
          </w:tcPr>
          <w:p w14:paraId="08BB9050" w14:textId="77777777" w:rsidR="00397861" w:rsidRPr="003F5F34" w:rsidRDefault="00397861" w:rsidP="00397861">
            <w:r w:rsidRPr="003F5F34">
              <w:t xml:space="preserve">Submissions will be assessed by the REF panels during the period </w:t>
            </w:r>
            <w:r w:rsidRPr="003F5F34">
              <w:rPr>
                <w:b/>
                <w:bCs/>
              </w:rPr>
              <w:t>May 2021 to March 2022</w:t>
            </w:r>
            <w:r w:rsidRPr="003F5F34">
              <w:t>.</w:t>
            </w:r>
          </w:p>
        </w:tc>
        <w:tc>
          <w:tcPr>
            <w:tcW w:w="469" w:type="pct"/>
          </w:tcPr>
          <w:p w14:paraId="1E9C1213" w14:textId="77777777" w:rsidR="00397861" w:rsidRPr="003F5F34" w:rsidRDefault="00397861" w:rsidP="00397861">
            <w:pPr>
              <w:jc w:val="center"/>
            </w:pPr>
            <w:r w:rsidRPr="003F5F34">
              <w:t>15</w:t>
            </w:r>
          </w:p>
        </w:tc>
      </w:tr>
      <w:tr w:rsidR="00397861" w:rsidRPr="003F5F34" w14:paraId="6A29C104" w14:textId="77777777" w:rsidTr="00397861">
        <w:trPr>
          <w:jc w:val="center"/>
        </w:trPr>
        <w:tc>
          <w:tcPr>
            <w:tcW w:w="388" w:type="pct"/>
          </w:tcPr>
          <w:p w14:paraId="7009A5A3" w14:textId="77777777" w:rsidR="00397861" w:rsidRPr="003F5F34" w:rsidRDefault="00397861" w:rsidP="00397861">
            <w:pPr>
              <w:jc w:val="center"/>
            </w:pPr>
            <w:r w:rsidRPr="003F5F34">
              <w:t>86-7</w:t>
            </w:r>
          </w:p>
        </w:tc>
        <w:tc>
          <w:tcPr>
            <w:tcW w:w="2098" w:type="pct"/>
          </w:tcPr>
          <w:p w14:paraId="3D245DBE" w14:textId="77777777" w:rsidR="00397861" w:rsidRPr="003F5F34" w:rsidRDefault="00397861" w:rsidP="00397861">
            <w:r w:rsidRPr="003F5F34">
              <w:t>For staff circumstances where the information includes special category personal data, the audit will only require evidence of the staff self-declaration. …</w:t>
            </w:r>
          </w:p>
          <w:p w14:paraId="372D21DC" w14:textId="77777777" w:rsidR="00397861" w:rsidRPr="003F5F34" w:rsidRDefault="00397861" w:rsidP="00397861"/>
          <w:p w14:paraId="5978B49C" w14:textId="77777777" w:rsidR="00397861" w:rsidRPr="003F5F34" w:rsidRDefault="00397861" w:rsidP="00397861">
            <w:r w:rsidRPr="003F5F34">
              <w:t xml:space="preserve">Different audit arrangements will apply to the following circumstances, which are not classified as special category personal data: </w:t>
            </w:r>
          </w:p>
          <w:p w14:paraId="06B5ADA6" w14:textId="77777777" w:rsidR="00397861" w:rsidRPr="003F5F34" w:rsidRDefault="00397861" w:rsidP="00397861"/>
          <w:p w14:paraId="02D37F24" w14:textId="77777777" w:rsidR="00397861" w:rsidRPr="003F5F34" w:rsidRDefault="00397861" w:rsidP="00397861">
            <w:pPr>
              <w:pStyle w:val="ListParagraph"/>
              <w:numPr>
                <w:ilvl w:val="0"/>
                <w:numId w:val="15"/>
              </w:numPr>
              <w:spacing w:line="240" w:lineRule="auto"/>
              <w:ind w:left="458"/>
              <w:rPr>
                <w:b w:val="0"/>
                <w:bCs/>
              </w:rPr>
            </w:pPr>
            <w:r w:rsidRPr="003F5F34">
              <w:rPr>
                <w:b w:val="0"/>
                <w:bCs/>
              </w:rPr>
              <w:t xml:space="preserve">Qualifying as an early career researcher (ECR). </w:t>
            </w:r>
          </w:p>
          <w:p w14:paraId="06C146A6" w14:textId="77777777" w:rsidR="00397861" w:rsidRPr="003F5F34" w:rsidRDefault="00397861" w:rsidP="00397861">
            <w:pPr>
              <w:pStyle w:val="ListParagraph"/>
              <w:numPr>
                <w:ilvl w:val="0"/>
                <w:numId w:val="15"/>
              </w:numPr>
              <w:spacing w:line="240" w:lineRule="auto"/>
              <w:ind w:left="458"/>
              <w:rPr>
                <w:b w:val="0"/>
                <w:bCs/>
              </w:rPr>
            </w:pPr>
            <w:r w:rsidRPr="003F5F34">
              <w:rPr>
                <w:b w:val="0"/>
                <w:bCs/>
              </w:rPr>
              <w:t xml:space="preserve">b. Absence from work due to secondments or career breaks outside the higher education sector. </w:t>
            </w:r>
          </w:p>
          <w:p w14:paraId="3FBFF51F" w14:textId="77777777" w:rsidR="00397861" w:rsidRPr="003F5F34" w:rsidRDefault="00397861" w:rsidP="00397861">
            <w:pPr>
              <w:pStyle w:val="ListParagraph"/>
              <w:numPr>
                <w:ilvl w:val="0"/>
                <w:numId w:val="15"/>
              </w:numPr>
              <w:spacing w:line="240" w:lineRule="auto"/>
              <w:ind w:left="458"/>
            </w:pPr>
            <w:r w:rsidRPr="003F5F34">
              <w:rPr>
                <w:b w:val="0"/>
                <w:bCs/>
              </w:rPr>
              <w:lastRenderedPageBreak/>
              <w:t>c. In UOAs 1–6, Category A submitted staff who are junior clinical academics.</w:t>
            </w:r>
          </w:p>
        </w:tc>
        <w:tc>
          <w:tcPr>
            <w:tcW w:w="2045" w:type="pct"/>
          </w:tcPr>
          <w:p w14:paraId="422B742E" w14:textId="77777777" w:rsidR="00397861" w:rsidRPr="003F5F34" w:rsidRDefault="00397861" w:rsidP="00397861">
            <w:pPr>
              <w:rPr>
                <w:b/>
                <w:bCs/>
              </w:rPr>
            </w:pPr>
            <w:r w:rsidRPr="003F5F34">
              <w:rPr>
                <w:b/>
                <w:bCs/>
              </w:rPr>
              <w:lastRenderedPageBreak/>
              <w:t>…institutions may remove the minimum of one requirement where the combination of individual staff circumstances earlier in the assessment period and the effects of COVID-19 has had an exceptional effect so that a staff member has not been able to produce an eligible output.</w:t>
            </w:r>
          </w:p>
          <w:p w14:paraId="1814CFAC" w14:textId="77777777" w:rsidR="00397861" w:rsidRPr="003F5F34" w:rsidRDefault="00397861" w:rsidP="00397861">
            <w:pPr>
              <w:rPr>
                <w:b/>
                <w:bCs/>
              </w:rPr>
            </w:pPr>
          </w:p>
          <w:p w14:paraId="716FAD7B" w14:textId="77777777" w:rsidR="00397861" w:rsidRPr="003F5F34" w:rsidRDefault="00397861" w:rsidP="00397861">
            <w:pPr>
              <w:rPr>
                <w:b/>
                <w:bCs/>
              </w:rPr>
            </w:pPr>
            <w:r w:rsidRPr="003F5F34">
              <w:rPr>
                <w:b/>
                <w:bCs/>
              </w:rPr>
              <w:t xml:space="preserve">This includes effects due to applicable circumstances (such as ill health, caring responsibilities); other personal circumstances related to COVID-19 (such as furloughed staff, health-related or clinical staff diverted to frontline services, staff resource diverted to </w:t>
            </w:r>
            <w:r w:rsidRPr="003F5F34">
              <w:rPr>
                <w:b/>
                <w:bCs/>
              </w:rPr>
              <w:lastRenderedPageBreak/>
              <w:t>other priority areas within the HEI in response to COVID-19); and/or external factors related to COVID-19 (for example, restricted access to research facilities)</w:t>
            </w:r>
          </w:p>
          <w:p w14:paraId="645F4A22" w14:textId="77777777" w:rsidR="00397861" w:rsidRPr="003F5F34" w:rsidRDefault="00397861" w:rsidP="00397861">
            <w:pPr>
              <w:rPr>
                <w:b/>
                <w:bCs/>
              </w:rPr>
            </w:pPr>
          </w:p>
          <w:p w14:paraId="36ABDD55" w14:textId="77777777" w:rsidR="00397861" w:rsidRPr="003F5F34" w:rsidRDefault="00397861" w:rsidP="00397861">
            <w:r w:rsidRPr="003F5F34">
              <w:rPr>
                <w:b/>
                <w:bCs/>
              </w:rPr>
              <w:t>For staff circumstances that include special category personal data (including ill-health and caring responsibilities), the audit will only require evidence of staff self-declaration.</w:t>
            </w:r>
            <w:r w:rsidRPr="003F5F34">
              <w:t xml:space="preserve"> This is in line with the wider approach to verifying special category personal data.</w:t>
            </w:r>
          </w:p>
          <w:p w14:paraId="7A56DDB1" w14:textId="77777777" w:rsidR="00397861" w:rsidRPr="003F5F34" w:rsidRDefault="00397861" w:rsidP="00397861"/>
          <w:p w14:paraId="7183CB01" w14:textId="77777777" w:rsidR="00397861" w:rsidRPr="003F5F34" w:rsidRDefault="00397861" w:rsidP="00397861">
            <w:pPr>
              <w:rPr>
                <w:b/>
                <w:bCs/>
              </w:rPr>
            </w:pPr>
            <w:r w:rsidRPr="003F5F34">
              <w:rPr>
                <w:b/>
                <w:bCs/>
              </w:rPr>
              <w:t xml:space="preserve">For wider personal circumstances, including changes to contracts or job roles (such as furloughed staff, staff diverted to frontline service roles or priority areas within the institution in response to COVID-19), appropriate evidence that the HEI might have consulted could include HR records confirming contract amendments, central or departmental records confirming reprioritised activity relating to COVID-19 (this is not an exhaustive or prescriptive list of examples). </w:t>
            </w:r>
          </w:p>
          <w:p w14:paraId="680FE15E" w14:textId="77777777" w:rsidR="00397861" w:rsidRPr="003F5F34" w:rsidRDefault="00397861" w:rsidP="00397861"/>
          <w:p w14:paraId="4445C4AA" w14:textId="77777777" w:rsidR="00397861" w:rsidRPr="003F5F34" w:rsidRDefault="00397861" w:rsidP="00397861">
            <w:r w:rsidRPr="003F5F34">
              <w:rPr>
                <w:b/>
                <w:bCs/>
              </w:rPr>
              <w:t>Where there are external effects on aspects of submissions due to COVID-19, such as delays to publications, cancelled events or</w:t>
            </w:r>
            <w:r w:rsidRPr="003F5F34">
              <w:t xml:space="preserve"> </w:t>
            </w:r>
            <w:r w:rsidRPr="003F5F34">
              <w:rPr>
                <w:b/>
                <w:bCs/>
              </w:rPr>
              <w:t>activities, restricted access to buildings or facilities, and so on, appropriate evidence that the HEI might have consulted could include correspondence from the relevant third party about delays, cancellations or access issues, or evidence as to why correspondence could not be obtained (for example, where an organisation may have paused activity or closed). This is not an exhaustive or prescriptive list of examples.</w:t>
            </w:r>
          </w:p>
        </w:tc>
        <w:tc>
          <w:tcPr>
            <w:tcW w:w="469" w:type="pct"/>
          </w:tcPr>
          <w:p w14:paraId="43968EB7" w14:textId="77777777" w:rsidR="00397861" w:rsidRPr="003F5F34" w:rsidRDefault="00397861" w:rsidP="00397861">
            <w:pPr>
              <w:jc w:val="center"/>
            </w:pPr>
            <w:r w:rsidRPr="003F5F34">
              <w:lastRenderedPageBreak/>
              <w:t>20</w:t>
            </w:r>
          </w:p>
          <w:p w14:paraId="01EDDDF9" w14:textId="77777777" w:rsidR="00397861" w:rsidRPr="003F5F34" w:rsidRDefault="00397861" w:rsidP="00397861">
            <w:pPr>
              <w:jc w:val="center"/>
            </w:pPr>
          </w:p>
          <w:p w14:paraId="1D69449E" w14:textId="77777777" w:rsidR="00397861" w:rsidRPr="003F5F34" w:rsidRDefault="00397861" w:rsidP="00397861">
            <w:pPr>
              <w:jc w:val="center"/>
            </w:pPr>
          </w:p>
          <w:p w14:paraId="6A7A2CDA" w14:textId="77777777" w:rsidR="00397861" w:rsidRPr="003F5F34" w:rsidRDefault="00397861" w:rsidP="00397861">
            <w:pPr>
              <w:jc w:val="center"/>
            </w:pPr>
          </w:p>
          <w:p w14:paraId="6C1794AA" w14:textId="77777777" w:rsidR="00397861" w:rsidRPr="003F5F34" w:rsidRDefault="00397861" w:rsidP="00397861">
            <w:pPr>
              <w:jc w:val="center"/>
            </w:pPr>
          </w:p>
          <w:p w14:paraId="5FAF260E" w14:textId="77777777" w:rsidR="00397861" w:rsidRPr="003F5F34" w:rsidRDefault="00397861" w:rsidP="00397861">
            <w:pPr>
              <w:jc w:val="center"/>
            </w:pPr>
          </w:p>
          <w:p w14:paraId="5D53E14B" w14:textId="77777777" w:rsidR="00397861" w:rsidRPr="003F5F34" w:rsidRDefault="00397861" w:rsidP="00397861">
            <w:pPr>
              <w:jc w:val="center"/>
            </w:pPr>
          </w:p>
          <w:p w14:paraId="75F6DDE6" w14:textId="77777777" w:rsidR="00397861" w:rsidRPr="003F5F34" w:rsidRDefault="00397861" w:rsidP="00397861">
            <w:pPr>
              <w:jc w:val="center"/>
            </w:pPr>
          </w:p>
          <w:p w14:paraId="1AABB0BA" w14:textId="77777777" w:rsidR="00397861" w:rsidRPr="003F5F34" w:rsidRDefault="00397861" w:rsidP="00397861">
            <w:pPr>
              <w:jc w:val="center"/>
            </w:pPr>
          </w:p>
          <w:p w14:paraId="47A77FE6" w14:textId="77777777" w:rsidR="00397861" w:rsidRPr="003F5F34" w:rsidRDefault="00397861" w:rsidP="00397861">
            <w:pPr>
              <w:jc w:val="center"/>
            </w:pPr>
          </w:p>
          <w:p w14:paraId="7FE27A76" w14:textId="77777777" w:rsidR="00397861" w:rsidRPr="003F5F34" w:rsidRDefault="00397861" w:rsidP="00397861">
            <w:pPr>
              <w:jc w:val="center"/>
            </w:pPr>
            <w:r w:rsidRPr="003F5F34">
              <w:t>21.a.</w:t>
            </w:r>
          </w:p>
          <w:p w14:paraId="2E80EDE4" w14:textId="77777777" w:rsidR="00397861" w:rsidRPr="003F5F34" w:rsidRDefault="00397861" w:rsidP="00397861">
            <w:pPr>
              <w:jc w:val="center"/>
            </w:pPr>
          </w:p>
          <w:p w14:paraId="23330265" w14:textId="77777777" w:rsidR="00397861" w:rsidRPr="003F5F34" w:rsidRDefault="00397861" w:rsidP="00397861">
            <w:pPr>
              <w:jc w:val="center"/>
            </w:pPr>
          </w:p>
          <w:p w14:paraId="76EFA9DD" w14:textId="77777777" w:rsidR="00397861" w:rsidRPr="003F5F34" w:rsidRDefault="00397861" w:rsidP="00397861">
            <w:pPr>
              <w:jc w:val="center"/>
            </w:pPr>
          </w:p>
          <w:p w14:paraId="635486EF" w14:textId="77777777" w:rsidR="00397861" w:rsidRPr="003F5F34" w:rsidRDefault="00397861" w:rsidP="00397861">
            <w:pPr>
              <w:jc w:val="center"/>
            </w:pPr>
          </w:p>
          <w:p w14:paraId="3CC95E35" w14:textId="77777777" w:rsidR="00397861" w:rsidRPr="003F5F34" w:rsidRDefault="00397861" w:rsidP="00397861">
            <w:pPr>
              <w:jc w:val="center"/>
            </w:pPr>
          </w:p>
          <w:p w14:paraId="142FF9DD" w14:textId="77777777" w:rsidR="00397861" w:rsidRPr="003F5F34" w:rsidRDefault="00397861" w:rsidP="00397861">
            <w:pPr>
              <w:jc w:val="center"/>
            </w:pPr>
          </w:p>
          <w:p w14:paraId="0F914843" w14:textId="77777777" w:rsidR="00397861" w:rsidRPr="003F5F34" w:rsidRDefault="00397861" w:rsidP="00397861">
            <w:pPr>
              <w:jc w:val="center"/>
            </w:pPr>
          </w:p>
          <w:p w14:paraId="538DF5ED" w14:textId="77777777" w:rsidR="00397861" w:rsidRPr="003F5F34" w:rsidRDefault="00397861" w:rsidP="00397861">
            <w:pPr>
              <w:jc w:val="center"/>
            </w:pPr>
          </w:p>
          <w:p w14:paraId="082058CC" w14:textId="77777777" w:rsidR="00397861" w:rsidRPr="003F5F34" w:rsidRDefault="00397861" w:rsidP="00397861">
            <w:pPr>
              <w:jc w:val="center"/>
            </w:pPr>
          </w:p>
          <w:p w14:paraId="5BFB3976" w14:textId="77777777" w:rsidR="00397861" w:rsidRPr="003F5F34" w:rsidRDefault="00397861" w:rsidP="00397861">
            <w:pPr>
              <w:jc w:val="center"/>
            </w:pPr>
          </w:p>
          <w:p w14:paraId="4FD85C47" w14:textId="77777777" w:rsidR="00397861" w:rsidRPr="003F5F34" w:rsidRDefault="00397861" w:rsidP="00397861">
            <w:pPr>
              <w:jc w:val="center"/>
            </w:pPr>
          </w:p>
          <w:p w14:paraId="3A58E5A9" w14:textId="77777777" w:rsidR="00397861" w:rsidRPr="003F5F34" w:rsidRDefault="00397861" w:rsidP="00397861">
            <w:pPr>
              <w:jc w:val="center"/>
            </w:pPr>
          </w:p>
          <w:p w14:paraId="7F6F6460" w14:textId="77777777" w:rsidR="00397861" w:rsidRPr="003F5F34" w:rsidRDefault="00397861" w:rsidP="00397861">
            <w:pPr>
              <w:jc w:val="center"/>
            </w:pPr>
          </w:p>
          <w:p w14:paraId="6F6AAADD" w14:textId="77777777" w:rsidR="00397861" w:rsidRPr="003F5F34" w:rsidRDefault="00397861" w:rsidP="00397861">
            <w:pPr>
              <w:jc w:val="center"/>
            </w:pPr>
            <w:r w:rsidRPr="003F5F34">
              <w:t>89.a.-c.</w:t>
            </w:r>
          </w:p>
        </w:tc>
      </w:tr>
      <w:tr w:rsidR="00397861" w:rsidRPr="003F5F34" w14:paraId="77CDA763" w14:textId="77777777" w:rsidTr="00397861">
        <w:trPr>
          <w:jc w:val="center"/>
        </w:trPr>
        <w:tc>
          <w:tcPr>
            <w:tcW w:w="388" w:type="pct"/>
          </w:tcPr>
          <w:p w14:paraId="5EDEA379" w14:textId="77777777" w:rsidR="00397861" w:rsidRPr="003F5F34" w:rsidRDefault="00397861" w:rsidP="00397861">
            <w:pPr>
              <w:jc w:val="center"/>
            </w:pPr>
            <w:r w:rsidRPr="003F5F34">
              <w:lastRenderedPageBreak/>
              <w:t>94</w:t>
            </w:r>
          </w:p>
        </w:tc>
        <w:tc>
          <w:tcPr>
            <w:tcW w:w="2098" w:type="pct"/>
          </w:tcPr>
          <w:p w14:paraId="1E323DD0" w14:textId="77777777" w:rsidR="00397861" w:rsidRPr="003F5F34" w:rsidRDefault="00397861" w:rsidP="00397861">
            <w:r w:rsidRPr="003F5F34">
              <w:t>... Audit evidence for information provided in REF6a and REF6b may be sought between January 2021 and June 2021.</w:t>
            </w:r>
          </w:p>
        </w:tc>
        <w:tc>
          <w:tcPr>
            <w:tcW w:w="2045" w:type="pct"/>
          </w:tcPr>
          <w:p w14:paraId="087A1AC6" w14:textId="77777777" w:rsidR="00397861" w:rsidRPr="003F5F34" w:rsidRDefault="00397861" w:rsidP="00397861">
            <w:r w:rsidRPr="003F5F34">
              <w:rPr>
                <w:b/>
                <w:bCs/>
              </w:rPr>
              <w:t>May – October 2021</w:t>
            </w:r>
            <w:r w:rsidRPr="003F5F34">
              <w:t>: Audit period for staff circumstances (REF6a/b)</w:t>
            </w:r>
          </w:p>
        </w:tc>
        <w:tc>
          <w:tcPr>
            <w:tcW w:w="469" w:type="pct"/>
          </w:tcPr>
          <w:p w14:paraId="4F61D8F9" w14:textId="77777777" w:rsidR="00397861" w:rsidRPr="003F5F34" w:rsidRDefault="00397861" w:rsidP="00397861">
            <w:pPr>
              <w:jc w:val="center"/>
            </w:pPr>
            <w:r w:rsidRPr="003F5F34">
              <w:t>Annex D</w:t>
            </w:r>
          </w:p>
        </w:tc>
      </w:tr>
      <w:tr w:rsidR="00397861" w:rsidRPr="003F5F34" w14:paraId="27556B69" w14:textId="77777777" w:rsidTr="00397861">
        <w:trPr>
          <w:jc w:val="center"/>
        </w:trPr>
        <w:tc>
          <w:tcPr>
            <w:tcW w:w="388" w:type="pct"/>
          </w:tcPr>
          <w:p w14:paraId="279B867D" w14:textId="77777777" w:rsidR="00397861" w:rsidRPr="003F5F34" w:rsidRDefault="00397861" w:rsidP="00397861">
            <w:pPr>
              <w:jc w:val="center"/>
            </w:pPr>
            <w:r w:rsidRPr="003F5F34">
              <w:t>98</w:t>
            </w:r>
          </w:p>
        </w:tc>
        <w:tc>
          <w:tcPr>
            <w:tcW w:w="2098" w:type="pct"/>
          </w:tcPr>
          <w:p w14:paraId="14833743" w14:textId="77777777" w:rsidR="00397861" w:rsidRPr="003F5F34" w:rsidRDefault="00397861" w:rsidP="00397861">
            <w:r w:rsidRPr="003F5F34">
              <w:t>Sub-panels may instigate audits to verify specific information relating to any aspect of a submission. The REF audit team will request further information or evidence from the HEI, as appropriate to the query</w:t>
            </w:r>
          </w:p>
        </w:tc>
        <w:tc>
          <w:tcPr>
            <w:tcW w:w="2045" w:type="pct"/>
          </w:tcPr>
          <w:p w14:paraId="08EBD49E" w14:textId="77777777" w:rsidR="00397861" w:rsidRPr="003F5F34" w:rsidRDefault="00397861" w:rsidP="00397861">
            <w:pPr>
              <w:rPr>
                <w:b/>
                <w:bCs/>
              </w:rPr>
            </w:pPr>
            <w:r w:rsidRPr="003F5F34">
              <w:rPr>
                <w:b/>
                <w:bCs/>
              </w:rPr>
              <w:t>Panel-instigated audit: sub-panels may instigate audits to verify specific information relating to any aspect of a submission. This includes information submitted in accordance with the revised guidance.</w:t>
            </w:r>
          </w:p>
        </w:tc>
        <w:tc>
          <w:tcPr>
            <w:tcW w:w="469" w:type="pct"/>
          </w:tcPr>
          <w:p w14:paraId="5A486B9E" w14:textId="77777777" w:rsidR="00397861" w:rsidRPr="003F5F34" w:rsidRDefault="00397861" w:rsidP="00397861">
            <w:pPr>
              <w:jc w:val="center"/>
            </w:pPr>
            <w:r w:rsidRPr="003F5F34">
              <w:t>87.b.</w:t>
            </w:r>
          </w:p>
        </w:tc>
      </w:tr>
      <w:tr w:rsidR="00397861" w:rsidRPr="003F5F34" w14:paraId="10845AEC" w14:textId="77777777" w:rsidTr="00397861">
        <w:trPr>
          <w:jc w:val="center"/>
        </w:trPr>
        <w:tc>
          <w:tcPr>
            <w:tcW w:w="388" w:type="pct"/>
          </w:tcPr>
          <w:p w14:paraId="13065AE9" w14:textId="77777777" w:rsidR="00397861" w:rsidRPr="003F5F34" w:rsidRDefault="00397861" w:rsidP="00397861">
            <w:pPr>
              <w:jc w:val="center"/>
            </w:pPr>
            <w:r w:rsidRPr="003F5F34">
              <w:t>100</w:t>
            </w:r>
          </w:p>
        </w:tc>
        <w:tc>
          <w:tcPr>
            <w:tcW w:w="2098" w:type="pct"/>
          </w:tcPr>
          <w:p w14:paraId="75DA6639" w14:textId="77777777" w:rsidR="00397861" w:rsidRPr="003F5F34" w:rsidRDefault="00397861" w:rsidP="00397861">
            <w:r w:rsidRPr="003F5F34">
              <w:t xml:space="preserve">Panel instigated audits can occur at any point throughout the assessment period. </w:t>
            </w:r>
            <w:proofErr w:type="gramStart"/>
            <w:r w:rsidRPr="003F5F34">
              <w:t>The majority of</w:t>
            </w:r>
            <w:proofErr w:type="gramEnd"/>
            <w:r w:rsidRPr="003F5F34">
              <w:t xml:space="preserve"> these requests will occur between January and June 2021.</w:t>
            </w:r>
          </w:p>
        </w:tc>
        <w:tc>
          <w:tcPr>
            <w:tcW w:w="2045" w:type="pct"/>
          </w:tcPr>
          <w:p w14:paraId="569080C8" w14:textId="77777777" w:rsidR="00397861" w:rsidRPr="003F5F34" w:rsidRDefault="00397861" w:rsidP="00397861">
            <w:pPr>
              <w:rPr>
                <w:i/>
                <w:iCs/>
              </w:rPr>
            </w:pPr>
            <w:r w:rsidRPr="003F5F34">
              <w:rPr>
                <w:i/>
                <w:iCs/>
              </w:rPr>
              <w:t>In line with the revised audit timetable, the original paragraph should now be read as follows:</w:t>
            </w:r>
          </w:p>
          <w:p w14:paraId="00A95E0A" w14:textId="77777777" w:rsidR="00397861" w:rsidRPr="003F5F34" w:rsidRDefault="00397861" w:rsidP="00397861"/>
          <w:p w14:paraId="7C894FE4" w14:textId="77777777" w:rsidR="00397861" w:rsidRPr="003F5F34" w:rsidRDefault="00397861" w:rsidP="00397861">
            <w:r w:rsidRPr="003F5F34">
              <w:t xml:space="preserve">Panel instigated audits can occur at any point throughout the assessment period. </w:t>
            </w:r>
            <w:proofErr w:type="gramStart"/>
            <w:r w:rsidRPr="003F5F34">
              <w:t>The majority of</w:t>
            </w:r>
            <w:proofErr w:type="gramEnd"/>
            <w:r w:rsidRPr="003F5F34">
              <w:t xml:space="preserve"> these requests will occur between </w:t>
            </w:r>
            <w:r w:rsidRPr="003F5F34">
              <w:rPr>
                <w:b/>
                <w:bCs/>
              </w:rPr>
              <w:t>June</w:t>
            </w:r>
            <w:r w:rsidRPr="003F5F34">
              <w:t xml:space="preserve"> and </w:t>
            </w:r>
            <w:r w:rsidRPr="003F5F34">
              <w:rPr>
                <w:b/>
                <w:bCs/>
              </w:rPr>
              <w:t>December</w:t>
            </w:r>
            <w:r w:rsidRPr="003F5F34">
              <w:t xml:space="preserve"> 2021.</w:t>
            </w:r>
          </w:p>
        </w:tc>
        <w:tc>
          <w:tcPr>
            <w:tcW w:w="469" w:type="pct"/>
          </w:tcPr>
          <w:p w14:paraId="3ACAC8C1" w14:textId="77777777" w:rsidR="00397861" w:rsidRPr="003F5F34" w:rsidRDefault="00397861" w:rsidP="00397861">
            <w:pPr>
              <w:jc w:val="center"/>
            </w:pPr>
            <w:r w:rsidRPr="003F5F34">
              <w:t>Annex D</w:t>
            </w:r>
          </w:p>
        </w:tc>
      </w:tr>
    </w:tbl>
    <w:p w14:paraId="40A0DC29" w14:textId="77777777" w:rsidR="00397861" w:rsidRDefault="00397861" w:rsidP="00397861"/>
    <w:p w14:paraId="762AF538" w14:textId="77777777" w:rsidR="00397861" w:rsidRDefault="00397861" w:rsidP="00397861"/>
    <w:p w14:paraId="690E6DDC" w14:textId="77777777" w:rsidR="00397861" w:rsidRDefault="00397861" w:rsidP="00397861"/>
    <w:p w14:paraId="692B9B5A" w14:textId="5B6B2F0A" w:rsidR="00397861" w:rsidRDefault="00397861" w:rsidP="00B652DC"/>
    <w:p w14:paraId="39F88AAB" w14:textId="51A323AD" w:rsidR="00397861" w:rsidRDefault="00397861" w:rsidP="00B652DC"/>
    <w:p w14:paraId="7A9C962F" w14:textId="0BFA8237" w:rsidR="00397861" w:rsidRDefault="00397861" w:rsidP="00B652DC"/>
    <w:p w14:paraId="24623EF1" w14:textId="64FBF19A" w:rsidR="00397861" w:rsidRDefault="00397861" w:rsidP="00B652DC"/>
    <w:p w14:paraId="30709828" w14:textId="54D27902" w:rsidR="00397861" w:rsidRDefault="00397861" w:rsidP="00B652DC"/>
    <w:p w14:paraId="29793472" w14:textId="0E8F10C1" w:rsidR="00397861" w:rsidRDefault="00397861" w:rsidP="00B652DC"/>
    <w:p w14:paraId="21827596" w14:textId="7A3571C4" w:rsidR="00397861" w:rsidRDefault="00397861" w:rsidP="00B652DC"/>
    <w:p w14:paraId="6F5A777E" w14:textId="37C2417A" w:rsidR="00397861" w:rsidRDefault="00397861" w:rsidP="00B652DC"/>
    <w:p w14:paraId="3256C42E" w14:textId="6EFAFCFC" w:rsidR="00397861" w:rsidRDefault="00397861" w:rsidP="00B652DC"/>
    <w:p w14:paraId="2DC83BE5" w14:textId="6732988C" w:rsidR="00397861" w:rsidRDefault="00397861" w:rsidP="00B652DC"/>
    <w:p w14:paraId="1B1319D0" w14:textId="5C2C2694" w:rsidR="00397861" w:rsidRDefault="00397861" w:rsidP="00B652DC"/>
    <w:p w14:paraId="24D0EB6A" w14:textId="0613A725" w:rsidR="00397861" w:rsidRDefault="00397861" w:rsidP="00B652DC"/>
    <w:p w14:paraId="3AFFEDBD" w14:textId="64D15F87" w:rsidR="00397861" w:rsidRDefault="00397861" w:rsidP="00B652DC"/>
    <w:p w14:paraId="4F4ABC5F" w14:textId="36BD55C3" w:rsidR="00397861" w:rsidRDefault="00397861" w:rsidP="00B652DC"/>
    <w:p w14:paraId="188FFC69" w14:textId="50DE38AD" w:rsidR="00397861" w:rsidRDefault="00397861" w:rsidP="00B652DC"/>
    <w:p w14:paraId="78311C23" w14:textId="2A09AE25" w:rsidR="00397861" w:rsidRDefault="00397861" w:rsidP="00B652DC"/>
    <w:p w14:paraId="506A91D7" w14:textId="6E5B0A75" w:rsidR="00397861" w:rsidRDefault="00397861" w:rsidP="00B652DC"/>
    <w:p w14:paraId="35AD0BFD" w14:textId="01296FE5" w:rsidR="00397861" w:rsidRDefault="00397861" w:rsidP="00B652DC"/>
    <w:p w14:paraId="2DB66262" w14:textId="4E85930C" w:rsidR="00397861" w:rsidRDefault="00397861" w:rsidP="00B652DC"/>
    <w:p w14:paraId="75670A59" w14:textId="6B356DE4" w:rsidR="00397861" w:rsidRDefault="00397861" w:rsidP="00B652DC"/>
    <w:p w14:paraId="7BC5A24F" w14:textId="56EC9E46" w:rsidR="00397861" w:rsidRDefault="00397861" w:rsidP="00B652DC"/>
    <w:p w14:paraId="4E80B746" w14:textId="2694C5BA" w:rsidR="00397861" w:rsidRDefault="00397861" w:rsidP="00B652DC"/>
    <w:p w14:paraId="34724983" w14:textId="3F81F538" w:rsidR="00397861" w:rsidRDefault="00397861" w:rsidP="00B652DC"/>
    <w:p w14:paraId="77A934FD" w14:textId="6D1053AE" w:rsidR="00397861" w:rsidRDefault="00397861" w:rsidP="00B652DC"/>
    <w:p w14:paraId="13388753" w14:textId="614489E0" w:rsidR="00B652DC" w:rsidRPr="00757274" w:rsidRDefault="00397861" w:rsidP="00397861">
      <w:pPr>
        <w:pStyle w:val="Titlepage"/>
        <w:rPr>
          <w:color w:val="auto"/>
          <w:sz w:val="36"/>
        </w:rPr>
      </w:pPr>
      <w:bookmarkStart w:id="0" w:name="_Toc6924010"/>
      <w:bookmarkStart w:id="1" w:name="_Toc6924073"/>
      <w:bookmarkStart w:id="2" w:name="_Toc6924141"/>
      <w:r>
        <w:rPr>
          <w:color w:val="auto"/>
          <w:sz w:val="36"/>
        </w:rPr>
        <w:lastRenderedPageBreak/>
        <w:t>RE</w:t>
      </w:r>
      <w:r w:rsidR="00B652DC" w:rsidRPr="00757274">
        <w:rPr>
          <w:color w:val="auto"/>
          <w:sz w:val="36"/>
        </w:rPr>
        <w:t>F 2021:</w:t>
      </w:r>
    </w:p>
    <w:p w14:paraId="7AAC3631" w14:textId="77777777" w:rsidR="00B652DC" w:rsidRPr="00757274" w:rsidRDefault="00B652DC" w:rsidP="00B652DC">
      <w:pPr>
        <w:pStyle w:val="Titlepage"/>
        <w:rPr>
          <w:color w:val="auto"/>
          <w:sz w:val="36"/>
        </w:rPr>
      </w:pPr>
      <w:r>
        <w:rPr>
          <w:color w:val="auto"/>
          <w:sz w:val="36"/>
        </w:rPr>
        <w:t>Audit Guidance</w:t>
      </w:r>
      <w:bookmarkEnd w:id="0"/>
      <w:bookmarkEnd w:id="1"/>
      <w:bookmarkEnd w:id="2"/>
    </w:p>
    <w:p w14:paraId="3BA7FB19" w14:textId="77777777" w:rsidR="00B652DC" w:rsidRDefault="00B652DC" w:rsidP="00B652DC">
      <w:pPr>
        <w:pStyle w:val="Heading1"/>
      </w:pPr>
    </w:p>
    <w:p w14:paraId="3658CD51" w14:textId="77777777" w:rsidR="00B652DC" w:rsidRDefault="00B652DC" w:rsidP="00B652DC">
      <w:pPr>
        <w:pStyle w:val="Heading1"/>
      </w:pPr>
    </w:p>
    <w:p w14:paraId="07C97119" w14:textId="77777777" w:rsidR="00B652DC" w:rsidRPr="00AA36F3" w:rsidRDefault="00B652DC" w:rsidP="00B652DC">
      <w:pPr>
        <w:pStyle w:val="Heading1"/>
      </w:pPr>
    </w:p>
    <w:p w14:paraId="5604894C" w14:textId="77777777" w:rsidR="00B652DC" w:rsidRDefault="00B652DC" w:rsidP="00B652DC">
      <w:pPr>
        <w:jc w:val="center"/>
        <w:rPr>
          <w:b/>
          <w:sz w:val="36"/>
          <w:szCs w:val="36"/>
        </w:rPr>
      </w:pPr>
    </w:p>
    <w:p w14:paraId="071411D0" w14:textId="77777777" w:rsidR="00B652DC" w:rsidRDefault="00B652DC" w:rsidP="00B652DC">
      <w:pPr>
        <w:jc w:val="center"/>
        <w:rPr>
          <w:b/>
          <w:sz w:val="36"/>
          <w:szCs w:val="36"/>
        </w:rPr>
      </w:pPr>
    </w:p>
    <w:p w14:paraId="27FC0CF0" w14:textId="77777777" w:rsidR="00B652DC" w:rsidRDefault="00B652DC" w:rsidP="00B652DC">
      <w:pPr>
        <w:jc w:val="center"/>
        <w:rPr>
          <w:b/>
          <w:sz w:val="36"/>
          <w:szCs w:val="36"/>
        </w:rPr>
      </w:pPr>
    </w:p>
    <w:p w14:paraId="0B892BC2" w14:textId="77777777" w:rsidR="00B652DC" w:rsidRDefault="00B652DC" w:rsidP="00B652DC">
      <w:pPr>
        <w:jc w:val="center"/>
        <w:rPr>
          <w:b/>
          <w:sz w:val="36"/>
          <w:szCs w:val="36"/>
        </w:rPr>
      </w:pPr>
    </w:p>
    <w:p w14:paraId="2860596A" w14:textId="77777777" w:rsidR="00B652DC" w:rsidRDefault="00B652DC" w:rsidP="00B652DC">
      <w:pPr>
        <w:jc w:val="center"/>
        <w:rPr>
          <w:b/>
          <w:sz w:val="36"/>
          <w:szCs w:val="36"/>
        </w:rPr>
      </w:pPr>
    </w:p>
    <w:p w14:paraId="13530A3B" w14:textId="77777777" w:rsidR="00B652DC" w:rsidRDefault="00B652DC" w:rsidP="00B652DC">
      <w:pPr>
        <w:jc w:val="center"/>
        <w:rPr>
          <w:b/>
          <w:sz w:val="36"/>
          <w:szCs w:val="36"/>
        </w:rPr>
      </w:pPr>
    </w:p>
    <w:p w14:paraId="73BC4149" w14:textId="77777777" w:rsidR="00B652DC" w:rsidRPr="00757274" w:rsidRDefault="00B652DC" w:rsidP="00B652DC">
      <w:pPr>
        <w:jc w:val="center"/>
        <w:rPr>
          <w:b/>
          <w:sz w:val="36"/>
          <w:szCs w:val="36"/>
        </w:rPr>
      </w:pPr>
      <w:r>
        <w:rPr>
          <w:b/>
          <w:sz w:val="36"/>
          <w:szCs w:val="36"/>
        </w:rPr>
        <w:t>June</w:t>
      </w:r>
      <w:r w:rsidRPr="00757274">
        <w:rPr>
          <w:b/>
          <w:sz w:val="36"/>
          <w:szCs w:val="36"/>
        </w:rPr>
        <w:t xml:space="preserve"> 2019</w:t>
      </w:r>
    </w:p>
    <w:p w14:paraId="18219524" w14:textId="0AD80C5E" w:rsidR="00B652DC" w:rsidRPr="009757A5" w:rsidRDefault="00B652DC" w:rsidP="00B652DC">
      <w:pPr>
        <w:jc w:val="center"/>
      </w:pPr>
      <w:r w:rsidRPr="009757A5">
        <w:t xml:space="preserve">Document ref. no: </w:t>
      </w:r>
      <w:r>
        <w:t xml:space="preserve"> </w:t>
      </w:r>
      <w:r w:rsidR="00C05150">
        <w:t>2019/04</w:t>
      </w:r>
    </w:p>
    <w:p w14:paraId="5B635739" w14:textId="77777777" w:rsidR="00B652DC" w:rsidRDefault="00B652DC" w:rsidP="00B652DC">
      <w:pPr>
        <w:jc w:val="center"/>
      </w:pPr>
    </w:p>
    <w:p w14:paraId="0D161B0C" w14:textId="77777777" w:rsidR="00B652DC" w:rsidRPr="009757A5" w:rsidRDefault="00B652DC" w:rsidP="00B652DC">
      <w:pPr>
        <w:jc w:val="center"/>
      </w:pPr>
    </w:p>
    <w:p w14:paraId="24186012" w14:textId="77777777" w:rsidR="009A0C13" w:rsidRDefault="009A0C13">
      <w:pPr>
        <w:rPr>
          <w:rFonts w:eastAsia="Times New Roman" w:cs="Times New Roman"/>
          <w:szCs w:val="20"/>
          <w:lang w:eastAsia="en-GB"/>
        </w:rPr>
      </w:pPr>
      <w:r>
        <w:rPr>
          <w:rFonts w:eastAsia="Times New Roman" w:cs="Times New Roman"/>
          <w:szCs w:val="20"/>
          <w:lang w:eastAsia="en-GB"/>
        </w:rPr>
        <w:br w:type="page"/>
      </w:r>
    </w:p>
    <w:p w14:paraId="562A5BAB" w14:textId="77777777" w:rsidR="0039252F" w:rsidRDefault="0039252F" w:rsidP="0039252F"/>
    <w:p w14:paraId="320B93C0" w14:textId="77777777" w:rsidR="0039252F" w:rsidRDefault="0039252F" w:rsidP="0039252F"/>
    <w:p w14:paraId="0130046C" w14:textId="77777777" w:rsidR="0039252F" w:rsidRDefault="0039252F" w:rsidP="0039252F"/>
    <w:p w14:paraId="2A264448" w14:textId="77777777" w:rsidR="0039252F" w:rsidRPr="00F316DC" w:rsidRDefault="0039252F" w:rsidP="0039252F">
      <w:pPr>
        <w:pStyle w:val="Heading1"/>
      </w:pPr>
      <w:bookmarkStart w:id="3" w:name="_Toc6924012"/>
      <w:bookmarkStart w:id="4" w:name="_Toc6924075"/>
      <w:bookmarkStart w:id="5" w:name="_Toc6924143"/>
      <w:r w:rsidRPr="00F316DC">
        <w:t>Contents</w:t>
      </w:r>
      <w:bookmarkEnd w:id="3"/>
      <w:bookmarkEnd w:id="4"/>
      <w:bookmarkEnd w:id="5"/>
    </w:p>
    <w:p w14:paraId="1916359B" w14:textId="77777777" w:rsidR="0039252F" w:rsidRDefault="0039252F" w:rsidP="0039252F">
      <w:pPr>
        <w:pStyle w:val="TOC1"/>
      </w:pPr>
    </w:p>
    <w:p w14:paraId="04134A2D" w14:textId="77777777" w:rsidR="0039252F" w:rsidRPr="00E96962" w:rsidRDefault="0039252F" w:rsidP="0039252F">
      <w:pPr>
        <w:pStyle w:val="TOC1"/>
      </w:pPr>
      <w:r>
        <w:t>Aim of this guidance</w:t>
      </w:r>
      <w:r>
        <w:tab/>
        <w:t>3</w:t>
      </w:r>
    </w:p>
    <w:p w14:paraId="7311476C" w14:textId="56B0377F" w:rsidR="0039252F" w:rsidRDefault="0039252F" w:rsidP="0039252F">
      <w:pPr>
        <w:pStyle w:val="TOC1"/>
      </w:pPr>
      <w:r>
        <w:t>Introduction</w:t>
      </w:r>
      <w:r>
        <w:tab/>
      </w:r>
      <w:r w:rsidR="00DE6EDB">
        <w:t>3</w:t>
      </w:r>
    </w:p>
    <w:p w14:paraId="78EDDCB9" w14:textId="77777777" w:rsidR="006A5B5E" w:rsidRDefault="006A5B5E" w:rsidP="00A65E15">
      <w:pPr>
        <w:pStyle w:val="ListParagraph"/>
        <w:numPr>
          <w:ilvl w:val="0"/>
          <w:numId w:val="13"/>
        </w:numPr>
        <w:tabs>
          <w:tab w:val="right" w:leader="dot" w:pos="9015"/>
        </w:tabs>
        <w:ind w:left="714" w:hanging="357"/>
        <w:rPr>
          <w:b w:val="0"/>
        </w:rPr>
      </w:pPr>
      <w:r>
        <w:rPr>
          <w:b w:val="0"/>
        </w:rPr>
        <w:t>Definitions</w:t>
      </w:r>
      <w:r w:rsidR="0073297B">
        <w:rPr>
          <w:b w:val="0"/>
        </w:rPr>
        <w:tab/>
      </w:r>
      <w:r w:rsidR="00D111F9">
        <w:rPr>
          <w:b w:val="0"/>
        </w:rPr>
        <w:t>4</w:t>
      </w:r>
    </w:p>
    <w:p w14:paraId="5839AFC0" w14:textId="67256652" w:rsidR="0039252F" w:rsidRDefault="0039252F" w:rsidP="0039252F">
      <w:pPr>
        <w:pStyle w:val="TOC1"/>
      </w:pPr>
      <w:r>
        <w:t>Audit approach</w:t>
      </w:r>
      <w:r>
        <w:tab/>
      </w:r>
      <w:r w:rsidR="00D111F9">
        <w:t>4</w:t>
      </w:r>
    </w:p>
    <w:p w14:paraId="38182D0C" w14:textId="20D34A22" w:rsidR="0039252F" w:rsidRDefault="0039252F" w:rsidP="0039252F">
      <w:pPr>
        <w:pStyle w:val="TOC1"/>
      </w:pPr>
      <w:r>
        <w:t>Audit methods</w:t>
      </w:r>
      <w:r>
        <w:tab/>
      </w:r>
      <w:r w:rsidR="00D111F9">
        <w:t>5</w:t>
      </w:r>
    </w:p>
    <w:p w14:paraId="1284E61A" w14:textId="77777777" w:rsidR="00D111F9" w:rsidRDefault="00D111F9" w:rsidP="00A65E15">
      <w:pPr>
        <w:pStyle w:val="ListParagraph"/>
        <w:numPr>
          <w:ilvl w:val="0"/>
          <w:numId w:val="13"/>
        </w:numPr>
        <w:tabs>
          <w:tab w:val="right" w:leader="dot" w:pos="9015"/>
        </w:tabs>
        <w:ind w:left="714" w:hanging="357"/>
        <w:rPr>
          <w:b w:val="0"/>
        </w:rPr>
      </w:pPr>
      <w:r w:rsidRPr="00757274">
        <w:rPr>
          <w:b w:val="0"/>
        </w:rPr>
        <w:t>S</w:t>
      </w:r>
      <w:r>
        <w:rPr>
          <w:b w:val="0"/>
        </w:rPr>
        <w:t>mall unit request</w:t>
      </w:r>
      <w:r w:rsidRPr="00757274">
        <w:rPr>
          <w:b w:val="0"/>
        </w:rPr>
        <w:t>s</w:t>
      </w:r>
      <w:r w:rsidR="0073297B">
        <w:rPr>
          <w:b w:val="0"/>
        </w:rPr>
        <w:tab/>
      </w:r>
      <w:r w:rsidR="000E6C81">
        <w:rPr>
          <w:b w:val="0"/>
        </w:rPr>
        <w:t>6</w:t>
      </w:r>
    </w:p>
    <w:p w14:paraId="0F7C2487" w14:textId="0F5AA389" w:rsidR="0039252F" w:rsidRDefault="0039252F" w:rsidP="00A65E15">
      <w:pPr>
        <w:pStyle w:val="ListParagraph"/>
        <w:numPr>
          <w:ilvl w:val="0"/>
          <w:numId w:val="13"/>
        </w:numPr>
        <w:tabs>
          <w:tab w:val="right" w:leader="dot" w:pos="9015"/>
        </w:tabs>
        <w:ind w:left="714" w:hanging="357"/>
        <w:rPr>
          <w:b w:val="0"/>
        </w:rPr>
      </w:pPr>
      <w:r w:rsidRPr="00757274">
        <w:rPr>
          <w:b w:val="0"/>
        </w:rPr>
        <w:t>Staff details</w:t>
      </w:r>
      <w:r w:rsidR="0073297B">
        <w:rPr>
          <w:b w:val="0"/>
        </w:rPr>
        <w:tab/>
      </w:r>
      <w:r w:rsidR="000E6C81">
        <w:rPr>
          <w:b w:val="0"/>
        </w:rPr>
        <w:t>6</w:t>
      </w:r>
    </w:p>
    <w:p w14:paraId="2892018C" w14:textId="79CAB3CC" w:rsidR="0039252F" w:rsidRDefault="0039252F" w:rsidP="00A65E15">
      <w:pPr>
        <w:pStyle w:val="ListParagraph"/>
        <w:numPr>
          <w:ilvl w:val="0"/>
          <w:numId w:val="13"/>
        </w:numPr>
        <w:tabs>
          <w:tab w:val="right" w:leader="dot" w:pos="9015"/>
        </w:tabs>
        <w:ind w:left="714" w:hanging="357"/>
        <w:rPr>
          <w:b w:val="0"/>
        </w:rPr>
      </w:pPr>
      <w:r>
        <w:rPr>
          <w:b w:val="0"/>
        </w:rPr>
        <w:t>Research outputs</w:t>
      </w:r>
      <w:r w:rsidR="0073297B">
        <w:rPr>
          <w:b w:val="0"/>
        </w:rPr>
        <w:tab/>
      </w:r>
      <w:r w:rsidR="000E6C81">
        <w:rPr>
          <w:b w:val="0"/>
        </w:rPr>
        <w:t>9</w:t>
      </w:r>
    </w:p>
    <w:p w14:paraId="04521BAC" w14:textId="321CB06A" w:rsidR="0039252F" w:rsidRDefault="00C44DB0" w:rsidP="00A65E15">
      <w:pPr>
        <w:pStyle w:val="ListParagraph"/>
        <w:numPr>
          <w:ilvl w:val="0"/>
          <w:numId w:val="13"/>
        </w:numPr>
        <w:tabs>
          <w:tab w:val="left" w:pos="993"/>
          <w:tab w:val="right" w:leader="dot" w:pos="9015"/>
        </w:tabs>
        <w:ind w:left="714" w:hanging="357"/>
        <w:rPr>
          <w:b w:val="0"/>
        </w:rPr>
      </w:pPr>
      <w:r>
        <w:rPr>
          <w:b w:val="0"/>
        </w:rPr>
        <w:tab/>
      </w:r>
      <w:r w:rsidR="0039252F">
        <w:rPr>
          <w:b w:val="0"/>
        </w:rPr>
        <w:t>Open access</w:t>
      </w:r>
      <w:r w:rsidR="0073297B">
        <w:rPr>
          <w:b w:val="0"/>
        </w:rPr>
        <w:tab/>
      </w:r>
      <w:r w:rsidR="0039252F">
        <w:rPr>
          <w:b w:val="0"/>
        </w:rPr>
        <w:t>10</w:t>
      </w:r>
    </w:p>
    <w:p w14:paraId="5CFC57B8" w14:textId="0DB511D8" w:rsidR="0039252F" w:rsidRPr="00757274" w:rsidRDefault="0039252F" w:rsidP="00A65E15">
      <w:pPr>
        <w:pStyle w:val="ListParagraph"/>
        <w:numPr>
          <w:ilvl w:val="0"/>
          <w:numId w:val="13"/>
        </w:numPr>
        <w:tabs>
          <w:tab w:val="right" w:leader="dot" w:pos="9015"/>
        </w:tabs>
        <w:ind w:left="714" w:hanging="357"/>
      </w:pPr>
      <w:r>
        <w:rPr>
          <w:b w:val="0"/>
        </w:rPr>
        <w:t>Impact case studies</w:t>
      </w:r>
      <w:r w:rsidR="0073297B">
        <w:rPr>
          <w:b w:val="0"/>
        </w:rPr>
        <w:tab/>
      </w:r>
      <w:r w:rsidR="000E6C81">
        <w:rPr>
          <w:b w:val="0"/>
        </w:rPr>
        <w:t>12</w:t>
      </w:r>
    </w:p>
    <w:p w14:paraId="57BE1D90" w14:textId="767A5173" w:rsidR="0039252F" w:rsidRDefault="0039252F" w:rsidP="00A65E15">
      <w:pPr>
        <w:pStyle w:val="ListParagraph"/>
        <w:numPr>
          <w:ilvl w:val="0"/>
          <w:numId w:val="13"/>
        </w:numPr>
        <w:tabs>
          <w:tab w:val="right" w:leader="dot" w:pos="9015"/>
        </w:tabs>
        <w:ind w:left="714" w:hanging="357"/>
        <w:rPr>
          <w:b w:val="0"/>
        </w:rPr>
      </w:pPr>
      <w:r>
        <w:rPr>
          <w:b w:val="0"/>
        </w:rPr>
        <w:t>Environment data</w:t>
      </w:r>
      <w:r w:rsidR="0073297B">
        <w:rPr>
          <w:b w:val="0"/>
        </w:rPr>
        <w:tab/>
      </w:r>
      <w:r>
        <w:rPr>
          <w:b w:val="0"/>
        </w:rPr>
        <w:t>14</w:t>
      </w:r>
    </w:p>
    <w:p w14:paraId="3380F07C" w14:textId="64480B65" w:rsidR="0039252F" w:rsidRDefault="009D461B" w:rsidP="00A65E15">
      <w:pPr>
        <w:pStyle w:val="ListParagraph"/>
        <w:numPr>
          <w:ilvl w:val="0"/>
          <w:numId w:val="13"/>
        </w:numPr>
        <w:tabs>
          <w:tab w:val="right" w:leader="dot" w:pos="9015"/>
        </w:tabs>
        <w:ind w:left="714" w:hanging="357"/>
        <w:rPr>
          <w:b w:val="0"/>
        </w:rPr>
      </w:pPr>
      <w:r>
        <w:rPr>
          <w:b w:val="0"/>
        </w:rPr>
        <w:t>E</w:t>
      </w:r>
      <w:r w:rsidR="0039252F" w:rsidRPr="00757274">
        <w:rPr>
          <w:b w:val="0"/>
        </w:rPr>
        <w:t>nvironment</w:t>
      </w:r>
      <w:r w:rsidR="0073297B">
        <w:rPr>
          <w:b w:val="0"/>
        </w:rPr>
        <w:tab/>
      </w:r>
      <w:r w:rsidR="0039252F">
        <w:rPr>
          <w:b w:val="0"/>
        </w:rPr>
        <w:t>15</w:t>
      </w:r>
    </w:p>
    <w:p w14:paraId="74969059" w14:textId="3B7D2115" w:rsidR="0039252F" w:rsidRDefault="0039252F" w:rsidP="00A65E15">
      <w:pPr>
        <w:pStyle w:val="ListParagraph"/>
        <w:numPr>
          <w:ilvl w:val="0"/>
          <w:numId w:val="13"/>
        </w:numPr>
        <w:tabs>
          <w:tab w:val="right" w:leader="dot" w:pos="9015"/>
        </w:tabs>
        <w:ind w:left="714" w:hanging="357"/>
        <w:rPr>
          <w:b w:val="0"/>
        </w:rPr>
      </w:pPr>
      <w:r>
        <w:rPr>
          <w:b w:val="0"/>
        </w:rPr>
        <w:t>Staff circumstances</w:t>
      </w:r>
      <w:r w:rsidR="0073297B">
        <w:rPr>
          <w:b w:val="0"/>
        </w:rPr>
        <w:tab/>
      </w:r>
      <w:r>
        <w:rPr>
          <w:b w:val="0"/>
        </w:rPr>
        <w:t>16</w:t>
      </w:r>
    </w:p>
    <w:p w14:paraId="4F2C953A" w14:textId="026A9B8B" w:rsidR="0039252F" w:rsidRDefault="0039252F" w:rsidP="00A65E15">
      <w:pPr>
        <w:pStyle w:val="ListParagraph"/>
        <w:numPr>
          <w:ilvl w:val="0"/>
          <w:numId w:val="13"/>
        </w:numPr>
        <w:tabs>
          <w:tab w:val="right" w:leader="dot" w:pos="9015"/>
        </w:tabs>
        <w:ind w:left="714" w:hanging="357"/>
        <w:rPr>
          <w:b w:val="0"/>
        </w:rPr>
      </w:pPr>
      <w:r>
        <w:rPr>
          <w:b w:val="0"/>
        </w:rPr>
        <w:t>Panel-instigated queries</w:t>
      </w:r>
      <w:r w:rsidR="0073297B">
        <w:rPr>
          <w:b w:val="0"/>
        </w:rPr>
        <w:tab/>
      </w:r>
      <w:r w:rsidR="00F20118">
        <w:rPr>
          <w:b w:val="0"/>
        </w:rPr>
        <w:t>18</w:t>
      </w:r>
    </w:p>
    <w:p w14:paraId="7C65A550" w14:textId="77777777" w:rsidR="0039252F" w:rsidRPr="00757274" w:rsidRDefault="0039252F" w:rsidP="0039252F">
      <w:pPr>
        <w:rPr>
          <w:sz w:val="16"/>
          <w:szCs w:val="16"/>
        </w:rPr>
      </w:pPr>
    </w:p>
    <w:p w14:paraId="6283E6B2" w14:textId="4EDDC211" w:rsidR="0039252F" w:rsidRPr="006B70CA" w:rsidRDefault="0039252F" w:rsidP="0039252F">
      <w:r w:rsidRPr="00757274">
        <w:rPr>
          <w:b/>
        </w:rPr>
        <w:t>Appendix</w:t>
      </w:r>
      <w:r>
        <w:rPr>
          <w:b/>
        </w:rPr>
        <w:t>:</w:t>
      </w:r>
      <w:r w:rsidRPr="00350C4C">
        <w:t xml:space="preserve"> </w:t>
      </w:r>
      <w:r w:rsidRPr="00757274">
        <w:rPr>
          <w:b/>
        </w:rPr>
        <w:t>suggested process framework for open access</w:t>
      </w:r>
      <w:r>
        <w:rPr>
          <w:b/>
        </w:rPr>
        <w:t>…………………………………….</w:t>
      </w:r>
      <w:r w:rsidR="00F20118">
        <w:rPr>
          <w:b/>
        </w:rPr>
        <w:t>20</w:t>
      </w:r>
    </w:p>
    <w:p w14:paraId="79362595" w14:textId="77777777" w:rsidR="009A0C13" w:rsidRDefault="009A0C13">
      <w:pPr>
        <w:rPr>
          <w:rFonts w:eastAsia="Times New Roman" w:cs="Times New Roman"/>
          <w:szCs w:val="20"/>
          <w:lang w:eastAsia="en-GB"/>
        </w:rPr>
      </w:pPr>
    </w:p>
    <w:p w14:paraId="76633261" w14:textId="14EAE334" w:rsidR="00A34B3B" w:rsidRDefault="00A34B3B" w:rsidP="008377DB">
      <w:pPr>
        <w:rPr>
          <w:rFonts w:eastAsia="Times New Roman" w:cs="Times New Roman"/>
          <w:szCs w:val="20"/>
          <w:lang w:eastAsia="en-GB"/>
        </w:rPr>
      </w:pPr>
    </w:p>
    <w:p w14:paraId="1A4EC435" w14:textId="768C18F0" w:rsidR="00C91855" w:rsidRDefault="00C91855" w:rsidP="00350D9E">
      <w:pPr>
        <w:spacing w:line="300" w:lineRule="atLeast"/>
        <w:rPr>
          <w:rFonts w:eastAsia="Times New Roman" w:cs="Times New Roman"/>
          <w:b/>
          <w:sz w:val="36"/>
          <w:szCs w:val="36"/>
          <w:lang w:eastAsia="en-GB"/>
        </w:rPr>
      </w:pPr>
    </w:p>
    <w:p w14:paraId="72E87A7B" w14:textId="77777777" w:rsidR="0073704E" w:rsidRDefault="0073704E" w:rsidP="00350D9E">
      <w:pPr>
        <w:spacing w:line="300" w:lineRule="atLeast"/>
        <w:rPr>
          <w:rFonts w:eastAsia="Times New Roman" w:cs="Times New Roman"/>
          <w:b/>
          <w:sz w:val="36"/>
          <w:szCs w:val="36"/>
          <w:lang w:eastAsia="en-GB"/>
        </w:rPr>
        <w:sectPr w:rsidR="0073704E" w:rsidSect="00397861">
          <w:headerReference w:type="default" r:id="rId11"/>
          <w:footerReference w:type="default" r:id="rId12"/>
          <w:headerReference w:type="first" r:id="rId13"/>
          <w:pgSz w:w="11906" w:h="16838"/>
          <w:pgMar w:top="1440" w:right="1440" w:bottom="1440" w:left="1440" w:header="708" w:footer="708" w:gutter="0"/>
          <w:pgNumType w:start="1"/>
          <w:cols w:space="708"/>
          <w:titlePg/>
          <w:docGrid w:linePitch="360"/>
        </w:sectPr>
      </w:pPr>
    </w:p>
    <w:p w14:paraId="56909817" w14:textId="56ABDD1F" w:rsidR="00350D9E" w:rsidRDefault="00350D9E" w:rsidP="00350D9E">
      <w:pPr>
        <w:spacing w:line="300" w:lineRule="atLeast"/>
        <w:rPr>
          <w:rFonts w:eastAsia="Times New Roman" w:cs="Times New Roman"/>
          <w:b/>
          <w:sz w:val="36"/>
          <w:szCs w:val="36"/>
          <w:lang w:eastAsia="en-GB"/>
        </w:rPr>
      </w:pPr>
      <w:r>
        <w:rPr>
          <w:rFonts w:eastAsia="Times New Roman" w:cs="Times New Roman"/>
          <w:b/>
          <w:sz w:val="36"/>
          <w:szCs w:val="36"/>
          <w:lang w:eastAsia="en-GB"/>
        </w:rPr>
        <w:lastRenderedPageBreak/>
        <w:t>Aim of this guidance</w:t>
      </w:r>
    </w:p>
    <w:p w14:paraId="04279715" w14:textId="77777777" w:rsidR="00350D9E" w:rsidRPr="000A774C" w:rsidRDefault="00350D9E" w:rsidP="00A34B3B">
      <w:pPr>
        <w:spacing w:line="300" w:lineRule="atLeast"/>
        <w:rPr>
          <w:rFonts w:eastAsia="Times New Roman" w:cs="Times New Roman"/>
          <w:szCs w:val="20"/>
          <w:lang w:eastAsia="en-GB"/>
        </w:rPr>
      </w:pPr>
    </w:p>
    <w:p w14:paraId="7DDBA33E" w14:textId="77777777" w:rsidR="005F6B71" w:rsidRPr="004D1606" w:rsidRDefault="00A34B3B" w:rsidP="005F6B71">
      <w:pPr>
        <w:pStyle w:val="ListParagraph"/>
        <w:numPr>
          <w:ilvl w:val="0"/>
          <w:numId w:val="1"/>
        </w:numPr>
        <w:rPr>
          <w:b w:val="0"/>
        </w:rPr>
      </w:pPr>
      <w:r w:rsidRPr="00011C93">
        <w:rPr>
          <w:b w:val="0"/>
          <w:szCs w:val="20"/>
        </w:rPr>
        <w:t xml:space="preserve">In </w:t>
      </w:r>
      <w:r w:rsidR="00F60803" w:rsidRPr="00011C93">
        <w:rPr>
          <w:b w:val="0"/>
          <w:szCs w:val="20"/>
        </w:rPr>
        <w:t xml:space="preserve">January </w:t>
      </w:r>
      <w:r w:rsidR="007F352A" w:rsidRPr="00011C93">
        <w:rPr>
          <w:b w:val="0"/>
          <w:szCs w:val="20"/>
        </w:rPr>
        <w:t>2019</w:t>
      </w:r>
      <w:r w:rsidRPr="00011C93">
        <w:rPr>
          <w:b w:val="0"/>
          <w:szCs w:val="20"/>
        </w:rPr>
        <w:t xml:space="preserve">, the funding bodies published the </w:t>
      </w:r>
      <w:r w:rsidR="00261D51">
        <w:rPr>
          <w:b w:val="0"/>
          <w:szCs w:val="20"/>
        </w:rPr>
        <w:t>‘</w:t>
      </w:r>
      <w:r w:rsidRPr="00011C93">
        <w:rPr>
          <w:b w:val="0"/>
          <w:szCs w:val="20"/>
        </w:rPr>
        <w:t>Guidance on submissions</w:t>
      </w:r>
      <w:r w:rsidR="00261D51">
        <w:rPr>
          <w:b w:val="0"/>
          <w:szCs w:val="20"/>
        </w:rPr>
        <w:t>’</w:t>
      </w:r>
      <w:r w:rsidRPr="00011C93">
        <w:rPr>
          <w:b w:val="0"/>
          <w:szCs w:val="20"/>
        </w:rPr>
        <w:t xml:space="preserve"> (REF </w:t>
      </w:r>
      <w:r w:rsidR="002F4AC3" w:rsidRPr="00011C93">
        <w:rPr>
          <w:b w:val="0"/>
          <w:szCs w:val="20"/>
        </w:rPr>
        <w:t>2019</w:t>
      </w:r>
      <w:r w:rsidRPr="00011C93">
        <w:rPr>
          <w:b w:val="0"/>
          <w:szCs w:val="20"/>
        </w:rPr>
        <w:t xml:space="preserve">/01) and </w:t>
      </w:r>
      <w:r w:rsidR="00C1403B">
        <w:rPr>
          <w:b w:val="0"/>
          <w:szCs w:val="20"/>
        </w:rPr>
        <w:t>‘</w:t>
      </w:r>
      <w:r w:rsidRPr="00011C93">
        <w:rPr>
          <w:b w:val="0"/>
          <w:szCs w:val="20"/>
        </w:rPr>
        <w:t>Panel criteria and working methods</w:t>
      </w:r>
      <w:r w:rsidR="00C1403B">
        <w:rPr>
          <w:b w:val="0"/>
          <w:szCs w:val="20"/>
        </w:rPr>
        <w:t>’</w:t>
      </w:r>
      <w:r w:rsidRPr="00011C93">
        <w:rPr>
          <w:b w:val="0"/>
          <w:szCs w:val="20"/>
        </w:rPr>
        <w:t xml:space="preserve"> (REF </w:t>
      </w:r>
      <w:r w:rsidR="002F4AC3" w:rsidRPr="00011C93">
        <w:rPr>
          <w:b w:val="0"/>
          <w:szCs w:val="20"/>
        </w:rPr>
        <w:t>2019</w:t>
      </w:r>
      <w:r w:rsidRPr="00011C93">
        <w:rPr>
          <w:b w:val="0"/>
          <w:szCs w:val="20"/>
        </w:rPr>
        <w:t>/02)</w:t>
      </w:r>
      <w:r w:rsidR="004C0D06">
        <w:rPr>
          <w:b w:val="0"/>
          <w:szCs w:val="20"/>
        </w:rPr>
        <w:t xml:space="preserve"> for the Research Excellence Framework (REF) 2021 exercise</w:t>
      </w:r>
      <w:r w:rsidRPr="00011C93">
        <w:rPr>
          <w:b w:val="0"/>
          <w:szCs w:val="20"/>
        </w:rPr>
        <w:t xml:space="preserve">. </w:t>
      </w:r>
      <w:r w:rsidR="004C0D06" w:rsidRPr="00011C93">
        <w:rPr>
          <w:b w:val="0"/>
          <w:szCs w:val="20"/>
        </w:rPr>
        <w:t>Th</w:t>
      </w:r>
      <w:r w:rsidR="004C0D06">
        <w:rPr>
          <w:b w:val="0"/>
          <w:szCs w:val="20"/>
        </w:rPr>
        <w:t>o</w:t>
      </w:r>
      <w:r w:rsidR="004C0D06" w:rsidRPr="00011C93">
        <w:rPr>
          <w:b w:val="0"/>
          <w:szCs w:val="20"/>
        </w:rPr>
        <w:t xml:space="preserve">se </w:t>
      </w:r>
      <w:r w:rsidR="004C0D06">
        <w:rPr>
          <w:b w:val="0"/>
          <w:szCs w:val="20"/>
        </w:rPr>
        <w:t xml:space="preserve">two </w:t>
      </w:r>
      <w:r w:rsidR="00F60803" w:rsidRPr="00011C93">
        <w:rPr>
          <w:b w:val="0"/>
          <w:szCs w:val="20"/>
        </w:rPr>
        <w:t xml:space="preserve">documents set out all the requirements for </w:t>
      </w:r>
      <w:r w:rsidR="004C0D06">
        <w:rPr>
          <w:b w:val="0"/>
          <w:szCs w:val="20"/>
        </w:rPr>
        <w:t xml:space="preserve">the </w:t>
      </w:r>
      <w:r w:rsidR="00F60803" w:rsidRPr="00011C93">
        <w:rPr>
          <w:b w:val="0"/>
          <w:szCs w:val="20"/>
        </w:rPr>
        <w:t xml:space="preserve">submission of data by </w:t>
      </w:r>
      <w:r w:rsidR="00723526">
        <w:rPr>
          <w:b w:val="0"/>
          <w:szCs w:val="20"/>
        </w:rPr>
        <w:t>higher education institutions (</w:t>
      </w:r>
      <w:r w:rsidR="00F60803" w:rsidRPr="00011C93">
        <w:rPr>
          <w:b w:val="0"/>
          <w:szCs w:val="20"/>
        </w:rPr>
        <w:t>HEIs</w:t>
      </w:r>
      <w:r w:rsidR="00723526">
        <w:rPr>
          <w:b w:val="0"/>
          <w:szCs w:val="20"/>
        </w:rPr>
        <w:t>)</w:t>
      </w:r>
      <w:r w:rsidR="00F60803" w:rsidRPr="00011C93">
        <w:rPr>
          <w:b w:val="0"/>
          <w:szCs w:val="20"/>
        </w:rPr>
        <w:t xml:space="preserve"> </w:t>
      </w:r>
      <w:r w:rsidR="00261D51">
        <w:rPr>
          <w:b w:val="0"/>
          <w:szCs w:val="20"/>
        </w:rPr>
        <w:t>for</w:t>
      </w:r>
      <w:r w:rsidR="00261D51" w:rsidRPr="00011C93">
        <w:rPr>
          <w:b w:val="0"/>
          <w:szCs w:val="20"/>
        </w:rPr>
        <w:t xml:space="preserve"> </w:t>
      </w:r>
      <w:r w:rsidR="0017725E">
        <w:rPr>
          <w:b w:val="0"/>
          <w:szCs w:val="20"/>
        </w:rPr>
        <w:t>REF 2021</w:t>
      </w:r>
      <w:r w:rsidRPr="00011C93">
        <w:rPr>
          <w:b w:val="0"/>
          <w:szCs w:val="20"/>
        </w:rPr>
        <w:t>.</w:t>
      </w:r>
    </w:p>
    <w:p w14:paraId="6E127E94" w14:textId="77777777" w:rsidR="00A34B3B" w:rsidRPr="005F6B71" w:rsidRDefault="00A34B3B" w:rsidP="00011C93">
      <w:pPr>
        <w:spacing w:line="300" w:lineRule="atLeast"/>
        <w:rPr>
          <w:rFonts w:eastAsia="Times New Roman" w:cs="Times New Roman"/>
          <w:szCs w:val="20"/>
          <w:lang w:eastAsia="en-GB"/>
        </w:rPr>
      </w:pPr>
    </w:p>
    <w:p w14:paraId="568ED3BF" w14:textId="77777777" w:rsidR="005F6B71" w:rsidRPr="001C0763" w:rsidRDefault="00F60803" w:rsidP="005F6B71">
      <w:pPr>
        <w:pStyle w:val="ListParagraph"/>
        <w:numPr>
          <w:ilvl w:val="0"/>
          <w:numId w:val="1"/>
        </w:numPr>
        <w:rPr>
          <w:b w:val="0"/>
        </w:rPr>
      </w:pPr>
      <w:r w:rsidRPr="00011C93">
        <w:rPr>
          <w:b w:val="0"/>
          <w:szCs w:val="20"/>
        </w:rPr>
        <w:t>Th</w:t>
      </w:r>
      <w:r w:rsidR="00E24D9D">
        <w:rPr>
          <w:b w:val="0"/>
          <w:szCs w:val="20"/>
        </w:rPr>
        <w:t>is document</w:t>
      </w:r>
      <w:r w:rsidR="00C06F5F" w:rsidRPr="00011C93">
        <w:rPr>
          <w:b w:val="0"/>
          <w:szCs w:val="20"/>
        </w:rPr>
        <w:t xml:space="preserve"> </w:t>
      </w:r>
      <w:r w:rsidRPr="00011C93">
        <w:rPr>
          <w:b w:val="0"/>
          <w:szCs w:val="20"/>
        </w:rPr>
        <w:t xml:space="preserve">describes the approaches and methods that will be used to provide assurance that the data submitted are accurate, verifiable and </w:t>
      </w:r>
      <w:r w:rsidR="00DD33BA" w:rsidRPr="00011C93">
        <w:rPr>
          <w:b w:val="0"/>
          <w:szCs w:val="20"/>
        </w:rPr>
        <w:t xml:space="preserve">robust. </w:t>
      </w:r>
      <w:r w:rsidR="00815670">
        <w:rPr>
          <w:b w:val="0"/>
          <w:szCs w:val="20"/>
        </w:rPr>
        <w:t>The audit guidance</w:t>
      </w:r>
      <w:r w:rsidR="00815670" w:rsidRPr="00011C93">
        <w:rPr>
          <w:b w:val="0"/>
          <w:szCs w:val="20"/>
        </w:rPr>
        <w:t xml:space="preserve"> </w:t>
      </w:r>
      <w:r w:rsidR="00815670">
        <w:rPr>
          <w:b w:val="0"/>
          <w:szCs w:val="20"/>
        </w:rPr>
        <w:t xml:space="preserve">set out here </w:t>
      </w:r>
      <w:r w:rsidR="00473209" w:rsidRPr="00011C93">
        <w:rPr>
          <w:b w:val="0"/>
          <w:szCs w:val="20"/>
        </w:rPr>
        <w:t xml:space="preserve">includes </w:t>
      </w:r>
      <w:r w:rsidR="00AE05BC">
        <w:rPr>
          <w:b w:val="0"/>
          <w:szCs w:val="20"/>
        </w:rPr>
        <w:t>descriptions of the following</w:t>
      </w:r>
      <w:r w:rsidR="00A34B3B" w:rsidRPr="00011C93">
        <w:rPr>
          <w:b w:val="0"/>
          <w:szCs w:val="20"/>
        </w:rPr>
        <w:t>:</w:t>
      </w:r>
    </w:p>
    <w:p w14:paraId="405E3A73" w14:textId="77777777" w:rsidR="00A34B3B" w:rsidRPr="005F6B71" w:rsidRDefault="00473209" w:rsidP="002A4B0B">
      <w:pPr>
        <w:numPr>
          <w:ilvl w:val="1"/>
          <w:numId w:val="8"/>
        </w:numPr>
        <w:spacing w:line="300" w:lineRule="atLeast"/>
        <w:ind w:left="1134" w:hanging="567"/>
        <w:rPr>
          <w:rFonts w:eastAsia="Times New Roman" w:cs="Times New Roman"/>
          <w:szCs w:val="20"/>
          <w:lang w:eastAsia="en-GB"/>
        </w:rPr>
      </w:pPr>
      <w:r w:rsidRPr="005F6B71">
        <w:rPr>
          <w:rFonts w:eastAsia="Times New Roman" w:cs="Times New Roman"/>
          <w:szCs w:val="20"/>
          <w:lang w:eastAsia="en-GB"/>
        </w:rPr>
        <w:t xml:space="preserve">Methods of matching data to other sources to verify </w:t>
      </w:r>
      <w:r w:rsidR="004B2D1F">
        <w:rPr>
          <w:rFonts w:eastAsia="Times New Roman" w:cs="Times New Roman"/>
          <w:szCs w:val="20"/>
          <w:lang w:eastAsia="en-GB"/>
        </w:rPr>
        <w:t>their</w:t>
      </w:r>
      <w:r w:rsidR="004B2D1F" w:rsidRPr="005F6B71">
        <w:rPr>
          <w:rFonts w:eastAsia="Times New Roman" w:cs="Times New Roman"/>
          <w:szCs w:val="20"/>
          <w:lang w:eastAsia="en-GB"/>
        </w:rPr>
        <w:t xml:space="preserve"> </w:t>
      </w:r>
      <w:r w:rsidR="00D05A9D" w:rsidRPr="005F6B71">
        <w:rPr>
          <w:rFonts w:eastAsia="Times New Roman" w:cs="Times New Roman"/>
          <w:szCs w:val="20"/>
          <w:lang w:eastAsia="en-GB"/>
        </w:rPr>
        <w:t>accuracy</w:t>
      </w:r>
      <w:r w:rsidR="00373B4D">
        <w:rPr>
          <w:rFonts w:eastAsia="Times New Roman" w:cs="Times New Roman"/>
          <w:szCs w:val="20"/>
          <w:lang w:eastAsia="en-GB"/>
        </w:rPr>
        <w:t>.</w:t>
      </w:r>
    </w:p>
    <w:p w14:paraId="79F5357A" w14:textId="77777777" w:rsidR="00A34B3B" w:rsidRPr="000A774C" w:rsidRDefault="00D05A9D" w:rsidP="002A4B0B">
      <w:pPr>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Methods of</w:t>
      </w:r>
      <w:r w:rsidR="00A34B3B" w:rsidRPr="000A774C">
        <w:rPr>
          <w:rFonts w:eastAsia="Times New Roman" w:cs="Times New Roman"/>
          <w:szCs w:val="20"/>
          <w:lang w:eastAsia="en-GB"/>
        </w:rPr>
        <w:t xml:space="preserve"> </w:t>
      </w:r>
      <w:r>
        <w:rPr>
          <w:rFonts w:eastAsia="Times New Roman" w:cs="Times New Roman"/>
          <w:szCs w:val="20"/>
          <w:lang w:eastAsia="en-GB"/>
        </w:rPr>
        <w:t>risk scoring data based on characteristics of the submissions and/or matched datasets</w:t>
      </w:r>
      <w:r w:rsidR="00373B4D">
        <w:rPr>
          <w:rFonts w:eastAsia="Times New Roman" w:cs="Times New Roman"/>
          <w:szCs w:val="20"/>
          <w:lang w:eastAsia="en-GB"/>
        </w:rPr>
        <w:t>.</w:t>
      </w:r>
    </w:p>
    <w:p w14:paraId="4F117225" w14:textId="77777777" w:rsidR="00A34B3B" w:rsidRPr="000A774C" w:rsidRDefault="007A1697" w:rsidP="002A4B0B">
      <w:pPr>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 xml:space="preserve">Types of audit evidence that can be used to </w:t>
      </w:r>
      <w:r w:rsidR="00F82B58">
        <w:rPr>
          <w:rFonts w:eastAsia="Times New Roman" w:cs="Times New Roman"/>
          <w:szCs w:val="20"/>
          <w:lang w:eastAsia="en-GB"/>
        </w:rPr>
        <w:t>support substantive audit queries</w:t>
      </w:r>
      <w:r w:rsidR="00373B4D">
        <w:rPr>
          <w:rFonts w:eastAsia="Times New Roman" w:cs="Times New Roman"/>
          <w:szCs w:val="20"/>
          <w:lang w:eastAsia="en-GB"/>
        </w:rPr>
        <w:t>.</w:t>
      </w:r>
    </w:p>
    <w:p w14:paraId="6B54D3C6" w14:textId="77777777" w:rsidR="00A34B3B" w:rsidRPr="000A774C" w:rsidRDefault="00F82B58" w:rsidP="002A4B0B">
      <w:pPr>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 xml:space="preserve">The process </w:t>
      </w:r>
      <w:r w:rsidR="002A4327">
        <w:rPr>
          <w:rFonts w:eastAsia="Times New Roman" w:cs="Times New Roman"/>
          <w:szCs w:val="20"/>
          <w:lang w:eastAsia="en-GB"/>
        </w:rPr>
        <w:t xml:space="preserve">that REF </w:t>
      </w:r>
      <w:r>
        <w:rPr>
          <w:rFonts w:eastAsia="Times New Roman" w:cs="Times New Roman"/>
          <w:szCs w:val="20"/>
          <w:lang w:eastAsia="en-GB"/>
        </w:rPr>
        <w:t xml:space="preserve">panels </w:t>
      </w:r>
      <w:r w:rsidR="00373B4D">
        <w:rPr>
          <w:rFonts w:eastAsia="Times New Roman" w:cs="Times New Roman"/>
          <w:szCs w:val="20"/>
          <w:lang w:eastAsia="en-GB"/>
        </w:rPr>
        <w:t xml:space="preserve">will use to </w:t>
      </w:r>
      <w:r>
        <w:rPr>
          <w:rFonts w:eastAsia="Times New Roman" w:cs="Times New Roman"/>
          <w:szCs w:val="20"/>
          <w:lang w:eastAsia="en-GB"/>
        </w:rPr>
        <w:t>can raise audit queries</w:t>
      </w:r>
      <w:r w:rsidR="00373B4D">
        <w:rPr>
          <w:rFonts w:eastAsia="Times New Roman" w:cs="Times New Roman"/>
          <w:szCs w:val="20"/>
          <w:lang w:eastAsia="en-GB"/>
        </w:rPr>
        <w:t>.</w:t>
      </w:r>
    </w:p>
    <w:p w14:paraId="304D4712" w14:textId="77777777" w:rsidR="00A34B3B" w:rsidRDefault="00A34B3B" w:rsidP="00A34B3B">
      <w:pPr>
        <w:spacing w:line="300" w:lineRule="atLeast"/>
        <w:rPr>
          <w:rFonts w:eastAsia="Times New Roman" w:cs="Times New Roman"/>
          <w:szCs w:val="20"/>
          <w:lang w:eastAsia="en-GB"/>
        </w:rPr>
      </w:pPr>
    </w:p>
    <w:p w14:paraId="1FAC45FF" w14:textId="77777777" w:rsidR="00FC1E41" w:rsidRPr="00FF5B29" w:rsidRDefault="00FC1E41" w:rsidP="00FF5B29">
      <w:pPr>
        <w:keepNext/>
        <w:spacing w:line="300" w:lineRule="atLeast"/>
        <w:rPr>
          <w:rFonts w:eastAsia="Times New Roman" w:cs="Times New Roman"/>
          <w:b/>
          <w:sz w:val="22"/>
          <w:szCs w:val="22"/>
          <w:lang w:eastAsia="en-GB"/>
        </w:rPr>
      </w:pPr>
      <w:r w:rsidRPr="00A65E15">
        <w:rPr>
          <w:rFonts w:eastAsia="Times New Roman" w:cs="Times New Roman"/>
          <w:b/>
          <w:sz w:val="36"/>
          <w:szCs w:val="36"/>
          <w:lang w:eastAsia="en-GB"/>
        </w:rPr>
        <w:t>Introduction</w:t>
      </w:r>
    </w:p>
    <w:p w14:paraId="2F0613EA" w14:textId="77777777" w:rsidR="00FC1E41" w:rsidRDefault="00FC1E41" w:rsidP="00A34B3B">
      <w:pPr>
        <w:spacing w:line="300" w:lineRule="atLeast"/>
        <w:rPr>
          <w:rFonts w:eastAsia="Times New Roman" w:cs="Times New Roman"/>
          <w:szCs w:val="20"/>
          <w:lang w:eastAsia="en-GB"/>
        </w:rPr>
      </w:pPr>
    </w:p>
    <w:p w14:paraId="1736CE67" w14:textId="2DEA18F4" w:rsidR="00CD3202" w:rsidRPr="00CD3202" w:rsidRDefault="00CD3202" w:rsidP="00CD3202">
      <w:pPr>
        <w:pStyle w:val="ListParagraph"/>
        <w:numPr>
          <w:ilvl w:val="0"/>
          <w:numId w:val="1"/>
        </w:numPr>
        <w:rPr>
          <w:b w:val="0"/>
        </w:rPr>
      </w:pPr>
      <w:r w:rsidRPr="00CD3202">
        <w:rPr>
          <w:b w:val="0"/>
        </w:rPr>
        <w:t xml:space="preserve">The aim of the REF audit and data verification process is to give assurance that the data submitted </w:t>
      </w:r>
      <w:r w:rsidR="00544F7B">
        <w:rPr>
          <w:b w:val="0"/>
        </w:rPr>
        <w:t xml:space="preserve">by HEIs as part of the REF exercise </w:t>
      </w:r>
      <w:r w:rsidRPr="00CD3202">
        <w:rPr>
          <w:b w:val="0"/>
        </w:rPr>
        <w:t xml:space="preserve">are accurate and reliable. </w:t>
      </w:r>
      <w:r w:rsidR="00C61E66">
        <w:rPr>
          <w:b w:val="0"/>
        </w:rPr>
        <w:t>By</w:t>
      </w:r>
      <w:r w:rsidRPr="00CD3202">
        <w:rPr>
          <w:b w:val="0"/>
        </w:rPr>
        <w:t xml:space="preserve"> enabl</w:t>
      </w:r>
      <w:r w:rsidR="00C61E66">
        <w:rPr>
          <w:b w:val="0"/>
        </w:rPr>
        <w:t>ing</w:t>
      </w:r>
      <w:r w:rsidRPr="00CD3202">
        <w:rPr>
          <w:b w:val="0"/>
        </w:rPr>
        <w:t xml:space="preserve"> panels to make assessments based on accurate data, </w:t>
      </w:r>
      <w:r w:rsidR="00960E33">
        <w:rPr>
          <w:b w:val="0"/>
        </w:rPr>
        <w:t xml:space="preserve">this will </w:t>
      </w:r>
      <w:r w:rsidRPr="00CD3202">
        <w:rPr>
          <w:b w:val="0"/>
        </w:rPr>
        <w:t>provid</w:t>
      </w:r>
      <w:r w:rsidR="00960E33">
        <w:rPr>
          <w:b w:val="0"/>
        </w:rPr>
        <w:t>e</w:t>
      </w:r>
      <w:r w:rsidRPr="00CD3202">
        <w:rPr>
          <w:b w:val="0"/>
        </w:rPr>
        <w:t xml:space="preserve"> confidence in the outcomes of the </w:t>
      </w:r>
      <w:r w:rsidR="00960E33">
        <w:rPr>
          <w:b w:val="0"/>
        </w:rPr>
        <w:t xml:space="preserve">REF </w:t>
      </w:r>
      <w:r w:rsidRPr="00CD3202">
        <w:rPr>
          <w:b w:val="0"/>
        </w:rPr>
        <w:t xml:space="preserve">exercise. The process also supports the principle of fairness by ensuring that all </w:t>
      </w:r>
      <w:r w:rsidR="00960E33">
        <w:rPr>
          <w:b w:val="0"/>
        </w:rPr>
        <w:t>HEI</w:t>
      </w:r>
      <w:r w:rsidR="00960E33" w:rsidRPr="00CD3202">
        <w:rPr>
          <w:b w:val="0"/>
        </w:rPr>
        <w:t xml:space="preserve"> </w:t>
      </w:r>
      <w:r w:rsidRPr="00CD3202">
        <w:rPr>
          <w:b w:val="0"/>
        </w:rPr>
        <w:t xml:space="preserve">submissions </w:t>
      </w:r>
      <w:r w:rsidR="00960E33">
        <w:rPr>
          <w:b w:val="0"/>
        </w:rPr>
        <w:t>are</w:t>
      </w:r>
      <w:r w:rsidRPr="00CD3202">
        <w:rPr>
          <w:b w:val="0"/>
        </w:rPr>
        <w:t xml:space="preserve"> made on an equal basis in accordance with the </w:t>
      </w:r>
      <w:r w:rsidR="00E30076">
        <w:rPr>
          <w:b w:val="0"/>
        </w:rPr>
        <w:t xml:space="preserve">published </w:t>
      </w:r>
      <w:r w:rsidRPr="00CD3202">
        <w:rPr>
          <w:b w:val="0"/>
        </w:rPr>
        <w:t>criteria.</w:t>
      </w:r>
    </w:p>
    <w:p w14:paraId="2C990974" w14:textId="77777777" w:rsidR="00CD3202" w:rsidRPr="00CD3202" w:rsidRDefault="00CD3202" w:rsidP="00183765">
      <w:pPr>
        <w:pStyle w:val="ListParagraph"/>
        <w:ind w:left="0"/>
        <w:rPr>
          <w:b w:val="0"/>
        </w:rPr>
      </w:pPr>
    </w:p>
    <w:p w14:paraId="060C7E49" w14:textId="16B8C6F1" w:rsidR="00CD3202" w:rsidRPr="00CD3202" w:rsidRDefault="00CD3202" w:rsidP="00CD3202">
      <w:pPr>
        <w:pStyle w:val="ListParagraph"/>
        <w:numPr>
          <w:ilvl w:val="0"/>
          <w:numId w:val="1"/>
        </w:numPr>
        <w:rPr>
          <w:b w:val="0"/>
        </w:rPr>
      </w:pPr>
      <w:r w:rsidRPr="00CD3202">
        <w:rPr>
          <w:b w:val="0"/>
        </w:rPr>
        <w:t xml:space="preserve">The approach to verifying submissions and the level of scrutiny </w:t>
      </w:r>
      <w:r w:rsidR="00E30076">
        <w:rPr>
          <w:b w:val="0"/>
        </w:rPr>
        <w:t xml:space="preserve">applied </w:t>
      </w:r>
      <w:r w:rsidRPr="00CD3202">
        <w:rPr>
          <w:b w:val="0"/>
        </w:rPr>
        <w:t xml:space="preserve">will be proportionate to the scale of the </w:t>
      </w:r>
      <w:r w:rsidR="00E30076">
        <w:rPr>
          <w:b w:val="0"/>
        </w:rPr>
        <w:t xml:space="preserve">REF </w:t>
      </w:r>
      <w:r w:rsidRPr="00CD3202">
        <w:rPr>
          <w:b w:val="0"/>
        </w:rPr>
        <w:t xml:space="preserve">exercise and the need to assure the accuracy of submitted data. </w:t>
      </w:r>
      <w:r w:rsidR="00A919AB">
        <w:rPr>
          <w:b w:val="0"/>
        </w:rPr>
        <w:t>Initially, w</w:t>
      </w:r>
      <w:r w:rsidRPr="00CD3202">
        <w:rPr>
          <w:b w:val="0"/>
        </w:rPr>
        <w:t xml:space="preserve">e will verify proportionate samples of </w:t>
      </w:r>
      <w:r w:rsidR="00A919AB">
        <w:rPr>
          <w:b w:val="0"/>
        </w:rPr>
        <w:t xml:space="preserve">the </w:t>
      </w:r>
      <w:r w:rsidRPr="00CD3202">
        <w:rPr>
          <w:b w:val="0"/>
        </w:rPr>
        <w:t xml:space="preserve">data </w:t>
      </w:r>
      <w:r w:rsidR="0036585D" w:rsidRPr="0036585D">
        <w:rPr>
          <w:b w:val="0"/>
        </w:rPr>
        <w:t xml:space="preserve">that each HEI </w:t>
      </w:r>
      <w:r w:rsidRPr="00CD3202">
        <w:rPr>
          <w:b w:val="0"/>
        </w:rPr>
        <w:t>submit</w:t>
      </w:r>
      <w:r w:rsidR="0036585D">
        <w:rPr>
          <w:b w:val="0"/>
        </w:rPr>
        <w:t>s</w:t>
      </w:r>
      <w:r w:rsidRPr="00CD3202">
        <w:rPr>
          <w:b w:val="0"/>
        </w:rPr>
        <w:t>.</w:t>
      </w:r>
      <w:r w:rsidR="000B3DB7">
        <w:rPr>
          <w:rStyle w:val="FootnoteReference"/>
          <w:b w:val="0"/>
        </w:rPr>
        <w:footnoteReference w:id="2"/>
      </w:r>
      <w:r w:rsidR="004735DB">
        <w:rPr>
          <w:b w:val="0"/>
        </w:rPr>
        <w:t xml:space="preserve"> </w:t>
      </w:r>
      <w:r w:rsidRPr="00CD3202">
        <w:rPr>
          <w:b w:val="0"/>
        </w:rPr>
        <w:t xml:space="preserve">Further requests to verify data will </w:t>
      </w:r>
      <w:r w:rsidR="00F4159A">
        <w:rPr>
          <w:b w:val="0"/>
        </w:rPr>
        <w:t xml:space="preserve">then </w:t>
      </w:r>
      <w:r w:rsidRPr="00CD3202">
        <w:rPr>
          <w:b w:val="0"/>
        </w:rPr>
        <w:t xml:space="preserve">be targeted according to </w:t>
      </w:r>
      <w:r w:rsidR="00F4159A">
        <w:rPr>
          <w:b w:val="0"/>
        </w:rPr>
        <w:t xml:space="preserve">the </w:t>
      </w:r>
      <w:r w:rsidRPr="00CD3202">
        <w:rPr>
          <w:b w:val="0"/>
        </w:rPr>
        <w:t>risk of inaccuracy. Where available, we will use existing independent sources of data to provide assurance about the accuracy of submitted data.</w:t>
      </w:r>
    </w:p>
    <w:p w14:paraId="28557383" w14:textId="77777777" w:rsidR="00CD3202" w:rsidRPr="00CD3202" w:rsidRDefault="00CD3202" w:rsidP="00183765">
      <w:pPr>
        <w:pStyle w:val="ListParagraph"/>
        <w:ind w:left="0"/>
        <w:rPr>
          <w:b w:val="0"/>
        </w:rPr>
      </w:pPr>
    </w:p>
    <w:p w14:paraId="713D3CE2" w14:textId="3F173935" w:rsidR="00DF614F" w:rsidRPr="00C516AF" w:rsidRDefault="00CD3202" w:rsidP="00CD3202">
      <w:pPr>
        <w:pStyle w:val="ListParagraph"/>
        <w:numPr>
          <w:ilvl w:val="0"/>
          <w:numId w:val="1"/>
        </w:numPr>
        <w:rPr>
          <w:b w:val="0"/>
        </w:rPr>
      </w:pPr>
      <w:r w:rsidRPr="00CD3202">
        <w:rPr>
          <w:b w:val="0"/>
        </w:rPr>
        <w:t xml:space="preserve">In authorising individuals to make submissions on </w:t>
      </w:r>
      <w:r w:rsidR="00EF5144">
        <w:rPr>
          <w:b w:val="0"/>
        </w:rPr>
        <w:t>its</w:t>
      </w:r>
      <w:r w:rsidR="00EF5144" w:rsidRPr="00CD3202">
        <w:rPr>
          <w:b w:val="0"/>
        </w:rPr>
        <w:t xml:space="preserve"> </w:t>
      </w:r>
      <w:r w:rsidRPr="00CD3202">
        <w:rPr>
          <w:b w:val="0"/>
        </w:rPr>
        <w:t xml:space="preserve">behalf, the head of </w:t>
      </w:r>
      <w:r w:rsidR="00EF5144">
        <w:rPr>
          <w:b w:val="0"/>
        </w:rPr>
        <w:t>each HEI</w:t>
      </w:r>
      <w:r w:rsidR="00EF5144" w:rsidRPr="00CD3202">
        <w:rPr>
          <w:b w:val="0"/>
        </w:rPr>
        <w:t xml:space="preserve"> </w:t>
      </w:r>
      <w:r w:rsidRPr="00CD3202">
        <w:rPr>
          <w:b w:val="0"/>
        </w:rPr>
        <w:t xml:space="preserve">remains accountable for the accuracy of submitted information. While we provide examples of the kinds of evidence that institutions </w:t>
      </w:r>
      <w:r w:rsidR="008C4658">
        <w:rPr>
          <w:b w:val="0"/>
        </w:rPr>
        <w:t xml:space="preserve">may supply </w:t>
      </w:r>
      <w:r w:rsidRPr="00CD3202">
        <w:rPr>
          <w:b w:val="0"/>
        </w:rPr>
        <w:t>for verification purposes, these examples are n</w:t>
      </w:r>
      <w:r w:rsidR="003F10DD">
        <w:rPr>
          <w:b w:val="0"/>
        </w:rPr>
        <w:t>either</w:t>
      </w:r>
      <w:r w:rsidRPr="00CD3202">
        <w:rPr>
          <w:b w:val="0"/>
        </w:rPr>
        <w:t xml:space="preserve"> exhaustive </w:t>
      </w:r>
      <w:r w:rsidR="003F10DD">
        <w:rPr>
          <w:b w:val="0"/>
        </w:rPr>
        <w:t>n</w:t>
      </w:r>
      <w:r w:rsidRPr="00CD3202">
        <w:rPr>
          <w:b w:val="0"/>
        </w:rPr>
        <w:t>or prescriptive. Institutions should ensure they satisfy themselves o</w:t>
      </w:r>
      <w:r w:rsidR="000937AA">
        <w:rPr>
          <w:b w:val="0"/>
        </w:rPr>
        <w:t>n</w:t>
      </w:r>
      <w:r w:rsidRPr="00CD3202">
        <w:rPr>
          <w:b w:val="0"/>
        </w:rPr>
        <w:t xml:space="preserve"> the accuracy of </w:t>
      </w:r>
      <w:r w:rsidR="000937AA">
        <w:rPr>
          <w:b w:val="0"/>
        </w:rPr>
        <w:t xml:space="preserve">the </w:t>
      </w:r>
      <w:r w:rsidRPr="00CD3202">
        <w:rPr>
          <w:b w:val="0"/>
        </w:rPr>
        <w:t>information</w:t>
      </w:r>
      <w:r w:rsidR="000937AA">
        <w:rPr>
          <w:b w:val="0"/>
        </w:rPr>
        <w:t xml:space="preserve"> they </w:t>
      </w:r>
      <w:proofErr w:type="gramStart"/>
      <w:r w:rsidR="000937AA">
        <w:rPr>
          <w:b w:val="0"/>
        </w:rPr>
        <w:t>submit</w:t>
      </w:r>
      <w:r w:rsidRPr="00CD3202">
        <w:rPr>
          <w:b w:val="0"/>
        </w:rPr>
        <w:t>, and</w:t>
      </w:r>
      <w:proofErr w:type="gramEnd"/>
      <w:r w:rsidRPr="00CD3202">
        <w:rPr>
          <w:b w:val="0"/>
        </w:rPr>
        <w:t xml:space="preserve"> </w:t>
      </w:r>
      <w:r w:rsidR="000937AA">
        <w:rPr>
          <w:b w:val="0"/>
        </w:rPr>
        <w:t xml:space="preserve">should also </w:t>
      </w:r>
      <w:r w:rsidRPr="00CD3202">
        <w:rPr>
          <w:b w:val="0"/>
        </w:rPr>
        <w:t xml:space="preserve">maintain accurate records </w:t>
      </w:r>
      <w:r w:rsidR="00C26344">
        <w:rPr>
          <w:b w:val="0"/>
        </w:rPr>
        <w:t>enabling them</w:t>
      </w:r>
      <w:r w:rsidRPr="00CD3202">
        <w:rPr>
          <w:b w:val="0"/>
        </w:rPr>
        <w:t xml:space="preserve"> to verify th</w:t>
      </w:r>
      <w:r w:rsidR="00492F33">
        <w:rPr>
          <w:b w:val="0"/>
        </w:rPr>
        <w:t>is</w:t>
      </w:r>
      <w:r w:rsidRPr="00CD3202">
        <w:rPr>
          <w:b w:val="0"/>
        </w:rPr>
        <w:t xml:space="preserve"> information.</w:t>
      </w:r>
    </w:p>
    <w:p w14:paraId="55559134" w14:textId="77777777" w:rsidR="00FC1E41" w:rsidRPr="00C516AF" w:rsidRDefault="00FC1E41" w:rsidP="00FF5B29">
      <w:pPr>
        <w:pStyle w:val="ListParagraph"/>
        <w:ind w:left="0"/>
        <w:rPr>
          <w:b w:val="0"/>
        </w:rPr>
      </w:pPr>
    </w:p>
    <w:p w14:paraId="4EB04F55" w14:textId="35505B47" w:rsidR="00DC7227" w:rsidRPr="001827BF" w:rsidRDefault="00A857C3" w:rsidP="0017383B">
      <w:pPr>
        <w:pStyle w:val="ListParagraph"/>
        <w:numPr>
          <w:ilvl w:val="0"/>
          <w:numId w:val="1"/>
        </w:numPr>
        <w:rPr>
          <w:b w:val="0"/>
        </w:rPr>
      </w:pPr>
      <w:r>
        <w:rPr>
          <w:b w:val="0"/>
          <w:szCs w:val="20"/>
        </w:rPr>
        <w:t xml:space="preserve">This </w:t>
      </w:r>
      <w:r w:rsidR="00492F33">
        <w:rPr>
          <w:b w:val="0"/>
          <w:szCs w:val="20"/>
        </w:rPr>
        <w:t xml:space="preserve">audit </w:t>
      </w:r>
      <w:r>
        <w:rPr>
          <w:b w:val="0"/>
          <w:szCs w:val="20"/>
        </w:rPr>
        <w:t xml:space="preserve">guidance </w:t>
      </w:r>
      <w:r w:rsidR="009912AF">
        <w:rPr>
          <w:b w:val="0"/>
          <w:szCs w:val="20"/>
        </w:rPr>
        <w:t xml:space="preserve">covers the full scope of audit for REF 2021, including </w:t>
      </w:r>
      <w:r w:rsidR="00976980">
        <w:rPr>
          <w:b w:val="0"/>
          <w:szCs w:val="20"/>
        </w:rPr>
        <w:t>the approach to audit</w:t>
      </w:r>
      <w:r w:rsidR="00B1091F">
        <w:rPr>
          <w:b w:val="0"/>
          <w:szCs w:val="20"/>
        </w:rPr>
        <w:t>ing</w:t>
      </w:r>
      <w:r w:rsidR="00976980">
        <w:rPr>
          <w:b w:val="0"/>
          <w:szCs w:val="20"/>
        </w:rPr>
        <w:t xml:space="preserve"> compliance with the REF open access </w:t>
      </w:r>
      <w:r w:rsidR="00CA27A9">
        <w:rPr>
          <w:b w:val="0"/>
          <w:szCs w:val="20"/>
        </w:rPr>
        <w:t xml:space="preserve">(OA) </w:t>
      </w:r>
      <w:r w:rsidR="00976980">
        <w:rPr>
          <w:b w:val="0"/>
          <w:szCs w:val="20"/>
        </w:rPr>
        <w:t>policy</w:t>
      </w:r>
      <w:r w:rsidR="006A3F62">
        <w:rPr>
          <w:b w:val="0"/>
          <w:szCs w:val="20"/>
        </w:rPr>
        <w:t xml:space="preserve">. </w:t>
      </w:r>
      <w:r w:rsidR="00701075">
        <w:rPr>
          <w:b w:val="0"/>
          <w:szCs w:val="20"/>
        </w:rPr>
        <w:t>It</w:t>
      </w:r>
      <w:r w:rsidR="00A851CE">
        <w:rPr>
          <w:b w:val="0"/>
          <w:szCs w:val="20"/>
        </w:rPr>
        <w:t xml:space="preserve"> </w:t>
      </w:r>
      <w:r w:rsidR="00976980">
        <w:rPr>
          <w:b w:val="0"/>
          <w:szCs w:val="20"/>
        </w:rPr>
        <w:t xml:space="preserve">therefore </w:t>
      </w:r>
      <w:r w:rsidR="00A851CE">
        <w:rPr>
          <w:b w:val="0"/>
          <w:szCs w:val="20"/>
        </w:rPr>
        <w:t xml:space="preserve">supersedes the </w:t>
      </w:r>
      <w:r w:rsidR="0031449B">
        <w:rPr>
          <w:b w:val="0"/>
          <w:szCs w:val="20"/>
        </w:rPr>
        <w:t xml:space="preserve">document </w:t>
      </w:r>
      <w:r w:rsidR="000551EA">
        <w:rPr>
          <w:b w:val="0"/>
          <w:szCs w:val="20"/>
        </w:rPr>
        <w:t>that the Higher Education Funding Council for England (</w:t>
      </w:r>
      <w:r w:rsidR="0031449B">
        <w:rPr>
          <w:b w:val="0"/>
          <w:szCs w:val="20"/>
        </w:rPr>
        <w:t>HEFCE</w:t>
      </w:r>
      <w:r w:rsidR="000551EA">
        <w:rPr>
          <w:b w:val="0"/>
          <w:szCs w:val="20"/>
        </w:rPr>
        <w:t>) published</w:t>
      </w:r>
      <w:r w:rsidR="0031449B">
        <w:rPr>
          <w:b w:val="0"/>
          <w:szCs w:val="20"/>
        </w:rPr>
        <w:t xml:space="preserve"> in October </w:t>
      </w:r>
      <w:bookmarkStart w:id="6" w:name="_GoBack"/>
      <w:bookmarkEnd w:id="6"/>
      <w:r w:rsidR="0031449B">
        <w:rPr>
          <w:b w:val="0"/>
          <w:szCs w:val="20"/>
        </w:rPr>
        <w:lastRenderedPageBreak/>
        <w:t>2014</w:t>
      </w:r>
      <w:r w:rsidR="000551EA">
        <w:rPr>
          <w:b w:val="0"/>
          <w:szCs w:val="20"/>
        </w:rPr>
        <w:t>:</w:t>
      </w:r>
      <w:r w:rsidR="0031449B">
        <w:rPr>
          <w:b w:val="0"/>
          <w:szCs w:val="20"/>
        </w:rPr>
        <w:t xml:space="preserve"> </w:t>
      </w:r>
      <w:r w:rsidR="00806531">
        <w:rPr>
          <w:b w:val="0"/>
          <w:szCs w:val="20"/>
        </w:rPr>
        <w:t>‘</w:t>
      </w:r>
      <w:r w:rsidR="00C37BA6" w:rsidRPr="001827BF">
        <w:rPr>
          <w:b w:val="0"/>
          <w:szCs w:val="20"/>
        </w:rPr>
        <w:t>Open access in the post-2014 Research Excellence Framework: information and audit requirements</w:t>
      </w:r>
      <w:r w:rsidR="00806531">
        <w:rPr>
          <w:b w:val="0"/>
          <w:szCs w:val="20"/>
        </w:rPr>
        <w:t>’</w:t>
      </w:r>
      <w:r w:rsidR="00D57B3D">
        <w:rPr>
          <w:rStyle w:val="FootnoteReference"/>
          <w:b w:val="0"/>
          <w:szCs w:val="20"/>
        </w:rPr>
        <w:footnoteReference w:id="3"/>
      </w:r>
      <w:r w:rsidR="00D57B3D">
        <w:rPr>
          <w:b w:val="0"/>
          <w:szCs w:val="20"/>
        </w:rPr>
        <w:t>.</w:t>
      </w:r>
    </w:p>
    <w:p w14:paraId="5CE048BE" w14:textId="77777777" w:rsidR="00DC7227" w:rsidRDefault="00DC7227" w:rsidP="00A34B3B">
      <w:pPr>
        <w:spacing w:line="300" w:lineRule="atLeast"/>
        <w:rPr>
          <w:rFonts w:eastAsia="Times New Roman" w:cs="Times New Roman"/>
          <w:szCs w:val="20"/>
          <w:lang w:eastAsia="en-GB"/>
        </w:rPr>
      </w:pPr>
    </w:p>
    <w:p w14:paraId="23538B33" w14:textId="77777777" w:rsidR="00E24197" w:rsidRPr="00A65E15" w:rsidRDefault="00E24197" w:rsidP="002A4B0B">
      <w:pPr>
        <w:keepNext/>
        <w:spacing w:line="300" w:lineRule="atLeast"/>
        <w:rPr>
          <w:rFonts w:eastAsia="Times New Roman" w:cs="Times New Roman"/>
          <w:b/>
          <w:sz w:val="24"/>
          <w:szCs w:val="24"/>
          <w:lang w:eastAsia="en-GB"/>
        </w:rPr>
      </w:pPr>
      <w:r w:rsidRPr="00A65E15">
        <w:rPr>
          <w:rFonts w:eastAsia="Times New Roman" w:cs="Times New Roman"/>
          <w:b/>
          <w:sz w:val="24"/>
          <w:szCs w:val="24"/>
          <w:lang w:eastAsia="en-GB"/>
        </w:rPr>
        <w:t>Definitions</w:t>
      </w:r>
    </w:p>
    <w:p w14:paraId="570FE5C3" w14:textId="77777777" w:rsidR="00E24197" w:rsidRDefault="00E24197" w:rsidP="00566F16">
      <w:pPr>
        <w:keepNext/>
        <w:rPr>
          <w:lang w:eastAsia="en-GB"/>
        </w:rPr>
      </w:pPr>
    </w:p>
    <w:p w14:paraId="17EE5990" w14:textId="00227E47" w:rsidR="000D6819" w:rsidRPr="00395DD3" w:rsidRDefault="00ED2ED0" w:rsidP="000D6819">
      <w:pPr>
        <w:pStyle w:val="ListParagraph"/>
        <w:numPr>
          <w:ilvl w:val="0"/>
          <w:numId w:val="1"/>
        </w:numPr>
        <w:rPr>
          <w:b w:val="0"/>
        </w:rPr>
      </w:pPr>
      <w:r w:rsidRPr="0017383B">
        <w:rPr>
          <w:szCs w:val="20"/>
        </w:rPr>
        <w:t xml:space="preserve">Controls </w:t>
      </w:r>
      <w:r w:rsidR="00030E60">
        <w:rPr>
          <w:szCs w:val="20"/>
        </w:rPr>
        <w:t>a</w:t>
      </w:r>
      <w:r w:rsidRPr="0017383B">
        <w:rPr>
          <w:szCs w:val="20"/>
        </w:rPr>
        <w:t>udit</w:t>
      </w:r>
      <w:r w:rsidR="000D6819" w:rsidRPr="0017383B">
        <w:rPr>
          <w:szCs w:val="20"/>
        </w:rPr>
        <w:t>:</w:t>
      </w:r>
      <w:r>
        <w:rPr>
          <w:b w:val="0"/>
          <w:szCs w:val="20"/>
        </w:rPr>
        <w:t xml:space="preserve">  This </w:t>
      </w:r>
      <w:r w:rsidR="00693D8F">
        <w:rPr>
          <w:b w:val="0"/>
          <w:szCs w:val="20"/>
        </w:rPr>
        <w:t xml:space="preserve">is the </w:t>
      </w:r>
      <w:r w:rsidR="00317B5B">
        <w:rPr>
          <w:b w:val="0"/>
          <w:szCs w:val="20"/>
        </w:rPr>
        <w:t xml:space="preserve">process of </w:t>
      </w:r>
      <w:r w:rsidR="002F4DDA">
        <w:rPr>
          <w:b w:val="0"/>
          <w:szCs w:val="20"/>
        </w:rPr>
        <w:t xml:space="preserve">verifying the processes that an HEI follows when managing the </w:t>
      </w:r>
      <w:r w:rsidR="00A000A8">
        <w:rPr>
          <w:b w:val="0"/>
          <w:szCs w:val="20"/>
        </w:rPr>
        <w:t>open access compliance, and exceptions, of its research outputs.</w:t>
      </w:r>
      <w:r w:rsidR="004735DB">
        <w:rPr>
          <w:b w:val="0"/>
          <w:szCs w:val="20"/>
        </w:rPr>
        <w:t xml:space="preserve"> </w:t>
      </w:r>
      <w:r w:rsidR="0028162E">
        <w:rPr>
          <w:b w:val="0"/>
          <w:szCs w:val="20"/>
        </w:rPr>
        <w:t xml:space="preserve">A </w:t>
      </w:r>
      <w:r w:rsidR="00A000A8">
        <w:rPr>
          <w:b w:val="0"/>
          <w:szCs w:val="20"/>
        </w:rPr>
        <w:t xml:space="preserve">controls audit will include </w:t>
      </w:r>
      <w:r w:rsidR="00283632">
        <w:rPr>
          <w:b w:val="0"/>
          <w:szCs w:val="20"/>
        </w:rPr>
        <w:t xml:space="preserve">an assessment </w:t>
      </w:r>
      <w:proofErr w:type="gramStart"/>
      <w:r w:rsidR="0028162E">
        <w:rPr>
          <w:b w:val="0"/>
          <w:szCs w:val="20"/>
        </w:rPr>
        <w:t xml:space="preserve">both </w:t>
      </w:r>
      <w:r w:rsidR="00283632">
        <w:rPr>
          <w:b w:val="0"/>
          <w:szCs w:val="20"/>
        </w:rPr>
        <w:t xml:space="preserve">of </w:t>
      </w:r>
      <w:r w:rsidR="00D561A2">
        <w:rPr>
          <w:b w:val="0"/>
          <w:szCs w:val="20"/>
        </w:rPr>
        <w:t>the risks</w:t>
      </w:r>
      <w:proofErr w:type="gramEnd"/>
      <w:r w:rsidR="00D561A2">
        <w:rPr>
          <w:b w:val="0"/>
          <w:szCs w:val="20"/>
        </w:rPr>
        <w:t xml:space="preserve"> that the HEI has identified in </w:t>
      </w:r>
      <w:r w:rsidR="0028162E">
        <w:rPr>
          <w:b w:val="0"/>
          <w:szCs w:val="20"/>
        </w:rPr>
        <w:t>its</w:t>
      </w:r>
      <w:r w:rsidR="00D561A2">
        <w:rPr>
          <w:b w:val="0"/>
          <w:szCs w:val="20"/>
        </w:rPr>
        <w:t xml:space="preserve"> process</w:t>
      </w:r>
      <w:r w:rsidR="0028162E">
        <w:rPr>
          <w:b w:val="0"/>
          <w:szCs w:val="20"/>
        </w:rPr>
        <w:t>es</w:t>
      </w:r>
      <w:r w:rsidR="00D561A2">
        <w:rPr>
          <w:b w:val="0"/>
          <w:szCs w:val="20"/>
        </w:rPr>
        <w:t xml:space="preserve">, and </w:t>
      </w:r>
      <w:r w:rsidR="00C650DA">
        <w:rPr>
          <w:b w:val="0"/>
          <w:szCs w:val="20"/>
        </w:rPr>
        <w:t xml:space="preserve">of </w:t>
      </w:r>
      <w:r w:rsidR="00D561A2">
        <w:rPr>
          <w:b w:val="0"/>
          <w:szCs w:val="20"/>
        </w:rPr>
        <w:t xml:space="preserve">the </w:t>
      </w:r>
      <w:r w:rsidR="00F44499">
        <w:rPr>
          <w:b w:val="0"/>
          <w:szCs w:val="20"/>
        </w:rPr>
        <w:t xml:space="preserve">adequacy of the </w:t>
      </w:r>
      <w:r w:rsidR="00D561A2">
        <w:rPr>
          <w:b w:val="0"/>
          <w:szCs w:val="20"/>
        </w:rPr>
        <w:t xml:space="preserve">mitigations or controls that </w:t>
      </w:r>
      <w:r w:rsidR="00C61EF8">
        <w:rPr>
          <w:b w:val="0"/>
          <w:szCs w:val="20"/>
        </w:rPr>
        <w:t xml:space="preserve">have been </w:t>
      </w:r>
      <w:r w:rsidR="00BA7A11">
        <w:rPr>
          <w:b w:val="0"/>
          <w:szCs w:val="20"/>
        </w:rPr>
        <w:t>put in place.</w:t>
      </w:r>
    </w:p>
    <w:p w14:paraId="2DEE961F" w14:textId="77777777" w:rsidR="000D6819" w:rsidRPr="009A23E6" w:rsidRDefault="000D6819" w:rsidP="0017383B">
      <w:pPr>
        <w:pStyle w:val="ListParagraph"/>
        <w:ind w:left="0"/>
        <w:rPr>
          <w:b w:val="0"/>
        </w:rPr>
      </w:pPr>
    </w:p>
    <w:p w14:paraId="3501EE91" w14:textId="4C04CC92" w:rsidR="000D6819" w:rsidRPr="001C0763" w:rsidRDefault="00ED2ED0" w:rsidP="000D6819">
      <w:pPr>
        <w:pStyle w:val="ListParagraph"/>
        <w:numPr>
          <w:ilvl w:val="0"/>
          <w:numId w:val="1"/>
        </w:numPr>
        <w:rPr>
          <w:b w:val="0"/>
        </w:rPr>
      </w:pPr>
      <w:r w:rsidRPr="0017383B">
        <w:t xml:space="preserve">Substantive </w:t>
      </w:r>
      <w:r w:rsidR="00030E60">
        <w:t>a</w:t>
      </w:r>
      <w:r w:rsidRPr="0017383B">
        <w:t>udit:</w:t>
      </w:r>
      <w:r>
        <w:rPr>
          <w:b w:val="0"/>
        </w:rPr>
        <w:t xml:space="preserve">  </w:t>
      </w:r>
      <w:r w:rsidR="002D4A30">
        <w:rPr>
          <w:b w:val="0"/>
        </w:rPr>
        <w:t xml:space="preserve">Also known as </w:t>
      </w:r>
      <w:r w:rsidR="00141905">
        <w:rPr>
          <w:b w:val="0"/>
        </w:rPr>
        <w:t xml:space="preserve">sampling, this </w:t>
      </w:r>
      <w:r w:rsidR="00C650DA">
        <w:rPr>
          <w:b w:val="0"/>
        </w:rPr>
        <w:t xml:space="preserve">process </w:t>
      </w:r>
      <w:r w:rsidR="00141905">
        <w:rPr>
          <w:b w:val="0"/>
        </w:rPr>
        <w:t>involves selecting samples of data based on random selection, risk or other factors.</w:t>
      </w:r>
      <w:r w:rsidR="004735DB">
        <w:rPr>
          <w:b w:val="0"/>
        </w:rPr>
        <w:t xml:space="preserve"> </w:t>
      </w:r>
      <w:r w:rsidR="00747B9D">
        <w:rPr>
          <w:b w:val="0"/>
        </w:rPr>
        <w:t xml:space="preserve">Demonstrable evidence (an </w:t>
      </w:r>
      <w:r w:rsidR="007527AF">
        <w:rPr>
          <w:b w:val="0"/>
        </w:rPr>
        <w:t>‘</w:t>
      </w:r>
      <w:r w:rsidR="00747B9D">
        <w:rPr>
          <w:b w:val="0"/>
        </w:rPr>
        <w:t>audit trail</w:t>
      </w:r>
      <w:r w:rsidR="007527AF">
        <w:rPr>
          <w:b w:val="0"/>
        </w:rPr>
        <w:t>’</w:t>
      </w:r>
      <w:r w:rsidR="00747B9D">
        <w:rPr>
          <w:b w:val="0"/>
        </w:rPr>
        <w:t xml:space="preserve">) should be produced </w:t>
      </w:r>
      <w:r w:rsidR="00296412">
        <w:rPr>
          <w:b w:val="0"/>
        </w:rPr>
        <w:t>confirm</w:t>
      </w:r>
      <w:r w:rsidR="007527AF">
        <w:rPr>
          <w:b w:val="0"/>
        </w:rPr>
        <w:t>ing</w:t>
      </w:r>
      <w:r w:rsidR="00296412">
        <w:rPr>
          <w:b w:val="0"/>
        </w:rPr>
        <w:t xml:space="preserve"> that the data selected in the sample are accurate.</w:t>
      </w:r>
    </w:p>
    <w:p w14:paraId="2629F935" w14:textId="77777777" w:rsidR="000D6819" w:rsidRDefault="000D6819" w:rsidP="0017383B">
      <w:pPr>
        <w:rPr>
          <w:lang w:eastAsia="en-GB"/>
        </w:rPr>
      </w:pPr>
    </w:p>
    <w:p w14:paraId="334A3980" w14:textId="6F28EA5B" w:rsidR="00D65F5B" w:rsidRPr="00EE67ED" w:rsidRDefault="00D65F5B" w:rsidP="002A4B0B">
      <w:pPr>
        <w:keepNext/>
        <w:spacing w:line="300" w:lineRule="atLeast"/>
        <w:rPr>
          <w:rFonts w:eastAsia="Times New Roman" w:cs="Times New Roman"/>
          <w:b/>
          <w:sz w:val="36"/>
          <w:szCs w:val="36"/>
          <w:lang w:eastAsia="en-GB"/>
        </w:rPr>
      </w:pPr>
      <w:r w:rsidRPr="00A65E15">
        <w:rPr>
          <w:rFonts w:eastAsia="Times New Roman" w:cs="Times New Roman"/>
          <w:b/>
          <w:sz w:val="36"/>
          <w:szCs w:val="36"/>
          <w:lang w:eastAsia="en-GB"/>
        </w:rPr>
        <w:t xml:space="preserve">Audit </w:t>
      </w:r>
      <w:r w:rsidR="00FF6F31">
        <w:rPr>
          <w:rFonts w:eastAsia="Times New Roman" w:cs="Times New Roman"/>
          <w:b/>
          <w:sz w:val="36"/>
          <w:szCs w:val="36"/>
          <w:lang w:eastAsia="en-GB"/>
        </w:rPr>
        <w:t>a</w:t>
      </w:r>
      <w:r w:rsidRPr="00EE67ED">
        <w:rPr>
          <w:rFonts w:eastAsia="Times New Roman" w:cs="Times New Roman"/>
          <w:b/>
          <w:sz w:val="36"/>
          <w:szCs w:val="36"/>
          <w:lang w:eastAsia="en-GB"/>
        </w:rPr>
        <w:t>pproach</w:t>
      </w:r>
    </w:p>
    <w:p w14:paraId="418CB5C6" w14:textId="77777777" w:rsidR="00FA4389" w:rsidRDefault="00FA4389" w:rsidP="00A34B3B">
      <w:pPr>
        <w:spacing w:line="300" w:lineRule="atLeast"/>
        <w:rPr>
          <w:rFonts w:eastAsia="Times New Roman" w:cs="Times New Roman"/>
          <w:szCs w:val="20"/>
          <w:lang w:eastAsia="en-GB"/>
        </w:rPr>
      </w:pPr>
    </w:p>
    <w:p w14:paraId="4E263157" w14:textId="79EBEC41" w:rsidR="005F6B71" w:rsidRPr="001C0763" w:rsidRDefault="00F67A6D" w:rsidP="005F6B71">
      <w:pPr>
        <w:pStyle w:val="ListParagraph"/>
        <w:numPr>
          <w:ilvl w:val="0"/>
          <w:numId w:val="1"/>
        </w:numPr>
        <w:rPr>
          <w:b w:val="0"/>
        </w:rPr>
      </w:pPr>
      <w:r w:rsidRPr="00011C93">
        <w:rPr>
          <w:b w:val="0"/>
          <w:szCs w:val="20"/>
        </w:rPr>
        <w:t xml:space="preserve">The audit </w:t>
      </w:r>
      <w:r w:rsidR="003F3E49">
        <w:rPr>
          <w:b w:val="0"/>
          <w:szCs w:val="20"/>
        </w:rPr>
        <w:t xml:space="preserve">process </w:t>
      </w:r>
      <w:r w:rsidRPr="00011C93">
        <w:rPr>
          <w:b w:val="0"/>
          <w:szCs w:val="20"/>
        </w:rPr>
        <w:t xml:space="preserve">will take a phased approach, broadly divided into </w:t>
      </w:r>
      <w:r w:rsidR="00BC3354" w:rsidRPr="00011C93">
        <w:rPr>
          <w:b w:val="0"/>
          <w:szCs w:val="20"/>
        </w:rPr>
        <w:t>four</w:t>
      </w:r>
      <w:r w:rsidRPr="00011C93">
        <w:rPr>
          <w:b w:val="0"/>
          <w:szCs w:val="20"/>
        </w:rPr>
        <w:t xml:space="preserve"> phases of audit activity:</w:t>
      </w:r>
    </w:p>
    <w:p w14:paraId="2A3FAA3A" w14:textId="77777777" w:rsidR="00BC3354" w:rsidRPr="005F6B71" w:rsidRDefault="00B0735E" w:rsidP="00522BD4">
      <w:pPr>
        <w:numPr>
          <w:ilvl w:val="1"/>
          <w:numId w:val="8"/>
        </w:numPr>
        <w:spacing w:line="300" w:lineRule="atLeast"/>
        <w:ind w:left="1134" w:hanging="567"/>
        <w:rPr>
          <w:rFonts w:eastAsia="Times New Roman" w:cs="Times New Roman"/>
          <w:szCs w:val="20"/>
          <w:lang w:eastAsia="en-GB"/>
        </w:rPr>
      </w:pPr>
      <w:r w:rsidRPr="005F6B71">
        <w:rPr>
          <w:rFonts w:eastAsia="Times New Roman" w:cs="Times New Roman"/>
          <w:szCs w:val="20"/>
          <w:lang w:eastAsia="en-GB"/>
        </w:rPr>
        <w:t>Post-submission</w:t>
      </w:r>
      <w:r w:rsidR="00BC3354" w:rsidRPr="005F6B71">
        <w:rPr>
          <w:rFonts w:eastAsia="Times New Roman" w:cs="Times New Roman"/>
          <w:szCs w:val="20"/>
          <w:lang w:eastAsia="en-GB"/>
        </w:rPr>
        <w:t xml:space="preserve"> </w:t>
      </w:r>
      <w:r w:rsidR="008507FD" w:rsidRPr="005F6B71">
        <w:rPr>
          <w:rFonts w:eastAsia="Times New Roman" w:cs="Times New Roman"/>
          <w:szCs w:val="20"/>
          <w:lang w:eastAsia="en-GB"/>
        </w:rPr>
        <w:t>sampling</w:t>
      </w:r>
      <w:r w:rsidR="00BC3354" w:rsidRPr="005F6B71">
        <w:rPr>
          <w:rFonts w:eastAsia="Times New Roman" w:cs="Times New Roman"/>
          <w:szCs w:val="20"/>
          <w:lang w:eastAsia="en-GB"/>
        </w:rPr>
        <w:t xml:space="preserve"> of data</w:t>
      </w:r>
      <w:r w:rsidR="008507FD" w:rsidRPr="005F6B71">
        <w:rPr>
          <w:rFonts w:eastAsia="Times New Roman" w:cs="Times New Roman"/>
          <w:szCs w:val="20"/>
          <w:lang w:eastAsia="en-GB"/>
        </w:rPr>
        <w:t>, where substantive audit evidence will be requested for selected samples</w:t>
      </w:r>
    </w:p>
    <w:p w14:paraId="677241D1" w14:textId="77777777" w:rsidR="005227F2" w:rsidRDefault="00BC3354" w:rsidP="00522BD4">
      <w:pPr>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Post-submission</w:t>
      </w:r>
      <w:r w:rsidR="00B0735E">
        <w:rPr>
          <w:rFonts w:eastAsia="Times New Roman" w:cs="Times New Roman"/>
          <w:szCs w:val="20"/>
          <w:lang w:eastAsia="en-GB"/>
        </w:rPr>
        <w:t xml:space="preserve"> </w:t>
      </w:r>
      <w:r w:rsidR="004B49F4">
        <w:rPr>
          <w:rFonts w:eastAsia="Times New Roman" w:cs="Times New Roman"/>
          <w:szCs w:val="20"/>
          <w:lang w:eastAsia="en-GB"/>
        </w:rPr>
        <w:t xml:space="preserve">analysis of data where discrepancies </w:t>
      </w:r>
      <w:r w:rsidR="00925AE0">
        <w:rPr>
          <w:rFonts w:eastAsia="Times New Roman" w:cs="Times New Roman"/>
          <w:szCs w:val="20"/>
          <w:lang w:eastAsia="en-GB"/>
        </w:rPr>
        <w:t>will require substantive audit evidence</w:t>
      </w:r>
    </w:p>
    <w:p w14:paraId="2553EB75" w14:textId="77777777" w:rsidR="00925AE0" w:rsidRDefault="00925AE0" w:rsidP="00522BD4">
      <w:pPr>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 xml:space="preserve">Post-submission analysis of data where higher-risk data will require </w:t>
      </w:r>
      <w:r w:rsidR="0035276F">
        <w:rPr>
          <w:rFonts w:eastAsia="Times New Roman" w:cs="Times New Roman"/>
          <w:szCs w:val="20"/>
          <w:lang w:eastAsia="en-GB"/>
        </w:rPr>
        <w:t>evidence of management controls</w:t>
      </w:r>
    </w:p>
    <w:p w14:paraId="1F7CBD00" w14:textId="77777777" w:rsidR="00F96FEF" w:rsidRPr="000A774C" w:rsidRDefault="00F96FEF" w:rsidP="002A4B0B">
      <w:pPr>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Assessment-phase audit queries that will be raised by sub-panel members</w:t>
      </w:r>
    </w:p>
    <w:p w14:paraId="0F6B6625" w14:textId="77777777" w:rsidR="00F67A6D" w:rsidRDefault="00F67A6D" w:rsidP="002A4B0B">
      <w:pPr>
        <w:spacing w:line="300" w:lineRule="atLeast"/>
        <w:rPr>
          <w:rFonts w:eastAsia="Times New Roman" w:cs="Times New Roman"/>
          <w:szCs w:val="20"/>
          <w:lang w:eastAsia="en-GB"/>
        </w:rPr>
      </w:pPr>
    </w:p>
    <w:p w14:paraId="263A5550" w14:textId="59A4FD62" w:rsidR="005F6B71" w:rsidRPr="001C0763" w:rsidRDefault="00520C9F" w:rsidP="005F6B71">
      <w:pPr>
        <w:pStyle w:val="ListParagraph"/>
        <w:numPr>
          <w:ilvl w:val="0"/>
          <w:numId w:val="1"/>
        </w:numPr>
        <w:rPr>
          <w:b w:val="0"/>
        </w:rPr>
      </w:pPr>
      <w:r w:rsidRPr="00A90A5A">
        <w:rPr>
          <w:b w:val="0"/>
        </w:rPr>
        <w:t xml:space="preserve">The sampling phase will be undertaken shortly after the submission </w:t>
      </w:r>
      <w:r w:rsidR="006E474D" w:rsidRPr="00A90A5A">
        <w:rPr>
          <w:b w:val="0"/>
        </w:rPr>
        <w:t xml:space="preserve">deadline and will </w:t>
      </w:r>
      <w:r w:rsidR="00344B48">
        <w:rPr>
          <w:b w:val="0"/>
        </w:rPr>
        <w:t>focus</w:t>
      </w:r>
      <w:r w:rsidR="00344B48" w:rsidRPr="00A90A5A">
        <w:rPr>
          <w:b w:val="0"/>
        </w:rPr>
        <w:t xml:space="preserve"> </w:t>
      </w:r>
      <w:r w:rsidR="006E474D" w:rsidRPr="00A90A5A">
        <w:rPr>
          <w:b w:val="0"/>
        </w:rPr>
        <w:t xml:space="preserve">primarily on the staff data </w:t>
      </w:r>
      <w:r w:rsidR="00DD3E12">
        <w:rPr>
          <w:b w:val="0"/>
        </w:rPr>
        <w:t xml:space="preserve">submitted </w:t>
      </w:r>
      <w:r w:rsidR="00A90A5A">
        <w:rPr>
          <w:b w:val="0"/>
        </w:rPr>
        <w:t xml:space="preserve">in </w:t>
      </w:r>
      <w:r w:rsidR="00DD3E12">
        <w:rPr>
          <w:b w:val="0"/>
        </w:rPr>
        <w:t xml:space="preserve">sections </w:t>
      </w:r>
      <w:r w:rsidR="006E474D" w:rsidRPr="00A90A5A">
        <w:rPr>
          <w:b w:val="0"/>
        </w:rPr>
        <w:t>REF1a and REF1b</w:t>
      </w:r>
      <w:r w:rsidR="00DD3E12">
        <w:rPr>
          <w:b w:val="0"/>
        </w:rPr>
        <w:t xml:space="preserve"> of HEIs’ REF submissions</w:t>
      </w:r>
      <w:r w:rsidR="006E474D" w:rsidRPr="00A90A5A">
        <w:rPr>
          <w:b w:val="0"/>
        </w:rPr>
        <w:t>.</w:t>
      </w:r>
      <w:r w:rsidR="004735DB">
        <w:rPr>
          <w:b w:val="0"/>
        </w:rPr>
        <w:t xml:space="preserve"> </w:t>
      </w:r>
      <w:r w:rsidR="0AFD8E97" w:rsidRPr="00A90A5A">
        <w:rPr>
          <w:b w:val="0"/>
        </w:rPr>
        <w:t xml:space="preserve">Sample sizes will reflect </w:t>
      </w:r>
      <w:r w:rsidR="00EC7E92" w:rsidRPr="00A90A5A">
        <w:rPr>
          <w:b w:val="0"/>
        </w:rPr>
        <w:t xml:space="preserve">practice in previous REF and </w:t>
      </w:r>
      <w:r w:rsidR="00FB0AF9">
        <w:rPr>
          <w:b w:val="0"/>
        </w:rPr>
        <w:t>Research Assessment Exercise (</w:t>
      </w:r>
      <w:r w:rsidR="00EC7E92" w:rsidRPr="00A90A5A">
        <w:rPr>
          <w:b w:val="0"/>
        </w:rPr>
        <w:t>RAE</w:t>
      </w:r>
      <w:r w:rsidR="00FB0AF9">
        <w:rPr>
          <w:b w:val="0"/>
        </w:rPr>
        <w:t>)</w:t>
      </w:r>
      <w:r w:rsidR="00EC7E92" w:rsidRPr="00A90A5A">
        <w:rPr>
          <w:b w:val="0"/>
        </w:rPr>
        <w:t xml:space="preserve"> audits</w:t>
      </w:r>
      <w:r w:rsidR="000B778E">
        <w:rPr>
          <w:b w:val="0"/>
        </w:rPr>
        <w:t>.</w:t>
      </w:r>
      <w:r w:rsidR="004735DB">
        <w:rPr>
          <w:b w:val="0"/>
        </w:rPr>
        <w:t xml:space="preserve"> </w:t>
      </w:r>
      <w:r w:rsidR="00041169" w:rsidRPr="00041169">
        <w:rPr>
          <w:b w:val="0"/>
        </w:rPr>
        <w:t xml:space="preserve">Specific information on sample sizes is provided in paragraph </w:t>
      </w:r>
      <w:r w:rsidR="00041169">
        <w:rPr>
          <w:b w:val="0"/>
        </w:rPr>
        <w:fldChar w:fldCharType="begin"/>
      </w:r>
      <w:r w:rsidR="00041169">
        <w:rPr>
          <w:b w:val="0"/>
        </w:rPr>
        <w:instrText xml:space="preserve"> REF _Ref10559654 \r \h </w:instrText>
      </w:r>
      <w:r w:rsidR="00041169">
        <w:rPr>
          <w:b w:val="0"/>
        </w:rPr>
      </w:r>
      <w:r w:rsidR="00041169">
        <w:rPr>
          <w:b w:val="0"/>
        </w:rPr>
        <w:fldChar w:fldCharType="separate"/>
      </w:r>
      <w:r w:rsidR="00FE72ED">
        <w:rPr>
          <w:b w:val="0"/>
        </w:rPr>
        <w:t>25</w:t>
      </w:r>
      <w:r w:rsidR="00041169">
        <w:rPr>
          <w:b w:val="0"/>
        </w:rPr>
        <w:fldChar w:fldCharType="end"/>
      </w:r>
      <w:r w:rsidR="00041169" w:rsidRPr="00041169">
        <w:rPr>
          <w:b w:val="0"/>
        </w:rPr>
        <w:t>, below.</w:t>
      </w:r>
    </w:p>
    <w:p w14:paraId="26E7968F" w14:textId="77777777" w:rsidR="00172C77" w:rsidRDefault="00172C77" w:rsidP="00A34B3B">
      <w:pPr>
        <w:spacing w:line="300" w:lineRule="atLeast"/>
        <w:rPr>
          <w:rFonts w:eastAsia="Times New Roman" w:cs="Times New Roman"/>
          <w:szCs w:val="20"/>
          <w:lang w:eastAsia="en-GB"/>
        </w:rPr>
      </w:pPr>
    </w:p>
    <w:p w14:paraId="1D87C424" w14:textId="4DB06CFB" w:rsidR="005F6B71" w:rsidRPr="001C0763" w:rsidRDefault="00DE3AFA" w:rsidP="005F6B71">
      <w:pPr>
        <w:pStyle w:val="ListParagraph"/>
        <w:numPr>
          <w:ilvl w:val="0"/>
          <w:numId w:val="1"/>
        </w:numPr>
        <w:rPr>
          <w:b w:val="0"/>
        </w:rPr>
      </w:pPr>
      <w:bookmarkStart w:id="7" w:name="_Ref2869344"/>
      <w:r w:rsidRPr="00CB3F97">
        <w:rPr>
          <w:b w:val="0"/>
        </w:rPr>
        <w:t xml:space="preserve">Analysis of discrepancies will be undertaken </w:t>
      </w:r>
      <w:r w:rsidR="00D9647F" w:rsidRPr="00CB3F97">
        <w:rPr>
          <w:b w:val="0"/>
        </w:rPr>
        <w:t>shortly after sampling</w:t>
      </w:r>
      <w:r w:rsidR="0022624C">
        <w:rPr>
          <w:b w:val="0"/>
        </w:rPr>
        <w:t>.</w:t>
      </w:r>
      <w:r w:rsidR="0022624C" w:rsidRPr="00CB3F97">
        <w:rPr>
          <w:b w:val="0"/>
        </w:rPr>
        <w:t xml:space="preserve"> </w:t>
      </w:r>
      <w:r w:rsidR="0022624C">
        <w:rPr>
          <w:b w:val="0"/>
        </w:rPr>
        <w:t>It</w:t>
      </w:r>
      <w:r w:rsidR="0022624C" w:rsidRPr="00CB3F97">
        <w:rPr>
          <w:b w:val="0"/>
        </w:rPr>
        <w:t xml:space="preserve"> </w:t>
      </w:r>
      <w:r w:rsidR="00D9647F" w:rsidRPr="00CB3F97">
        <w:rPr>
          <w:b w:val="0"/>
        </w:rPr>
        <w:t xml:space="preserve">will involve </w:t>
      </w:r>
      <w:r w:rsidR="00720C88" w:rsidRPr="00CB3F97">
        <w:rPr>
          <w:b w:val="0"/>
        </w:rPr>
        <w:t xml:space="preserve">matching REF1a data with the </w:t>
      </w:r>
      <w:r w:rsidR="002F118A">
        <w:rPr>
          <w:b w:val="0"/>
        </w:rPr>
        <w:t>Higher Education Statistics Agency (</w:t>
      </w:r>
      <w:r w:rsidR="00D7077C" w:rsidRPr="003975B3">
        <w:rPr>
          <w:b w:val="0"/>
        </w:rPr>
        <w:t>HESA</w:t>
      </w:r>
      <w:r w:rsidR="002F118A">
        <w:rPr>
          <w:b w:val="0"/>
        </w:rPr>
        <w:t>)</w:t>
      </w:r>
      <w:r w:rsidR="00D7077C" w:rsidRPr="003975B3">
        <w:rPr>
          <w:b w:val="0"/>
        </w:rPr>
        <w:t xml:space="preserve"> staff return for census date 31</w:t>
      </w:r>
      <w:r w:rsidR="0022624C">
        <w:rPr>
          <w:b w:val="0"/>
        </w:rPr>
        <w:t xml:space="preserve"> July </w:t>
      </w:r>
      <w:r w:rsidR="00D7077C" w:rsidRPr="003975B3">
        <w:rPr>
          <w:b w:val="0"/>
        </w:rPr>
        <w:t>2020 (</w:t>
      </w:r>
      <w:r w:rsidR="009E6A59" w:rsidRPr="003975B3">
        <w:rPr>
          <w:b w:val="0"/>
        </w:rPr>
        <w:t>C19025</w:t>
      </w:r>
      <w:r w:rsidR="00D7077C" w:rsidRPr="003975B3">
        <w:rPr>
          <w:b w:val="0"/>
        </w:rPr>
        <w:t>)</w:t>
      </w:r>
      <w:r w:rsidR="00D51FDD" w:rsidRPr="003975B3">
        <w:rPr>
          <w:b w:val="0"/>
        </w:rPr>
        <w:t>.</w:t>
      </w:r>
      <w:r w:rsidR="004735DB">
        <w:rPr>
          <w:b w:val="0"/>
        </w:rPr>
        <w:t xml:space="preserve"> </w:t>
      </w:r>
      <w:r w:rsidR="00172D78" w:rsidRPr="003975B3">
        <w:rPr>
          <w:b w:val="0"/>
        </w:rPr>
        <w:t>Queries will be run to establish discrepancies</w:t>
      </w:r>
      <w:r w:rsidR="00CC74D5" w:rsidRPr="003975B3">
        <w:rPr>
          <w:b w:val="0"/>
        </w:rPr>
        <w:t xml:space="preserve"> between the two datasets, and substantive evidence will be sought </w:t>
      </w:r>
      <w:r w:rsidR="00773F87" w:rsidRPr="003975B3">
        <w:rPr>
          <w:b w:val="0"/>
        </w:rPr>
        <w:t>if this is warranted by the significance of the dis</w:t>
      </w:r>
      <w:r w:rsidR="000F60E3" w:rsidRPr="003975B3">
        <w:rPr>
          <w:b w:val="0"/>
        </w:rPr>
        <w:t>crepancies</w:t>
      </w:r>
      <w:r w:rsidR="000F60E3" w:rsidRPr="00CB3F97">
        <w:rPr>
          <w:b w:val="0"/>
        </w:rPr>
        <w:t>.</w:t>
      </w:r>
      <w:bookmarkEnd w:id="7"/>
    </w:p>
    <w:p w14:paraId="7C7C6AE5" w14:textId="77777777" w:rsidR="000F60E3" w:rsidRPr="005F6B71" w:rsidRDefault="000F60E3" w:rsidP="00011C93">
      <w:pPr>
        <w:spacing w:line="300" w:lineRule="atLeast"/>
        <w:rPr>
          <w:rFonts w:eastAsia="Times New Roman" w:cs="Times New Roman"/>
          <w:szCs w:val="20"/>
          <w:lang w:eastAsia="en-GB"/>
        </w:rPr>
      </w:pPr>
    </w:p>
    <w:p w14:paraId="4C1DE0E1" w14:textId="6784C0D7" w:rsidR="005F6B71" w:rsidRPr="001C0763" w:rsidRDefault="000F60E3" w:rsidP="005F6B71">
      <w:pPr>
        <w:pStyle w:val="ListParagraph"/>
        <w:numPr>
          <w:ilvl w:val="0"/>
          <w:numId w:val="1"/>
        </w:numPr>
        <w:rPr>
          <w:b w:val="0"/>
        </w:rPr>
      </w:pPr>
      <w:r w:rsidRPr="00011C93">
        <w:rPr>
          <w:b w:val="0"/>
          <w:szCs w:val="20"/>
        </w:rPr>
        <w:t xml:space="preserve">Analysis of risk will be undertaken on the </w:t>
      </w:r>
      <w:r w:rsidR="00277A81" w:rsidRPr="00011C93">
        <w:rPr>
          <w:b w:val="0"/>
          <w:szCs w:val="20"/>
        </w:rPr>
        <w:t xml:space="preserve">outputs data to determine compliance with the </w:t>
      </w:r>
      <w:r w:rsidR="0091229A">
        <w:rPr>
          <w:b w:val="0"/>
          <w:szCs w:val="20"/>
        </w:rPr>
        <w:t>REF o</w:t>
      </w:r>
      <w:r w:rsidR="00277A81" w:rsidRPr="00011C93">
        <w:rPr>
          <w:b w:val="0"/>
          <w:szCs w:val="20"/>
        </w:rPr>
        <w:t xml:space="preserve">pen </w:t>
      </w:r>
      <w:r w:rsidR="0091229A">
        <w:rPr>
          <w:b w:val="0"/>
          <w:szCs w:val="20"/>
        </w:rPr>
        <w:t>a</w:t>
      </w:r>
      <w:r w:rsidR="00277A81" w:rsidRPr="00011C93">
        <w:rPr>
          <w:b w:val="0"/>
          <w:szCs w:val="20"/>
        </w:rPr>
        <w:t>ccess requirements.</w:t>
      </w:r>
      <w:r w:rsidR="004735DB">
        <w:rPr>
          <w:b w:val="0"/>
          <w:szCs w:val="20"/>
        </w:rPr>
        <w:t xml:space="preserve"> </w:t>
      </w:r>
      <w:r w:rsidR="00277A81" w:rsidRPr="00011C93">
        <w:rPr>
          <w:b w:val="0"/>
          <w:szCs w:val="20"/>
        </w:rPr>
        <w:t xml:space="preserve">The </w:t>
      </w:r>
      <w:r w:rsidR="004D6023">
        <w:rPr>
          <w:b w:val="0"/>
          <w:szCs w:val="20"/>
        </w:rPr>
        <w:t xml:space="preserve">detail of the approach is described in paragraph </w:t>
      </w:r>
      <w:r w:rsidR="00A74BE2">
        <w:rPr>
          <w:b w:val="0"/>
          <w:szCs w:val="20"/>
        </w:rPr>
        <w:fldChar w:fldCharType="begin"/>
      </w:r>
      <w:r w:rsidR="00A74BE2">
        <w:rPr>
          <w:b w:val="0"/>
          <w:szCs w:val="20"/>
        </w:rPr>
        <w:instrText xml:space="preserve"> REF _Ref10557543 \r \h </w:instrText>
      </w:r>
      <w:r w:rsidR="00A74BE2">
        <w:rPr>
          <w:b w:val="0"/>
          <w:szCs w:val="20"/>
        </w:rPr>
      </w:r>
      <w:r w:rsidR="00A74BE2">
        <w:rPr>
          <w:b w:val="0"/>
          <w:szCs w:val="20"/>
        </w:rPr>
        <w:fldChar w:fldCharType="separate"/>
      </w:r>
      <w:r w:rsidR="00FE72ED">
        <w:rPr>
          <w:b w:val="0"/>
          <w:szCs w:val="20"/>
        </w:rPr>
        <w:t>46</w:t>
      </w:r>
      <w:r w:rsidR="00A74BE2">
        <w:rPr>
          <w:b w:val="0"/>
          <w:szCs w:val="20"/>
        </w:rPr>
        <w:fldChar w:fldCharType="end"/>
      </w:r>
      <w:r w:rsidR="00E71A8F" w:rsidRPr="00011C93">
        <w:rPr>
          <w:b w:val="0"/>
          <w:szCs w:val="20"/>
        </w:rPr>
        <w:t>.</w:t>
      </w:r>
      <w:r w:rsidR="004735DB">
        <w:rPr>
          <w:b w:val="0"/>
          <w:szCs w:val="20"/>
        </w:rPr>
        <w:t xml:space="preserve"> </w:t>
      </w:r>
      <w:r w:rsidR="00F3137C">
        <w:rPr>
          <w:b w:val="0"/>
          <w:szCs w:val="20"/>
        </w:rPr>
        <w:t xml:space="preserve">Where HEIs are identified as </w:t>
      </w:r>
      <w:proofErr w:type="gramStart"/>
      <w:r w:rsidR="00F3137C">
        <w:rPr>
          <w:b w:val="0"/>
          <w:szCs w:val="20"/>
        </w:rPr>
        <w:t>higher-risk</w:t>
      </w:r>
      <w:proofErr w:type="gramEnd"/>
      <w:r w:rsidR="00F3137C">
        <w:rPr>
          <w:b w:val="0"/>
          <w:szCs w:val="20"/>
        </w:rPr>
        <w:t xml:space="preserve">, we will </w:t>
      </w:r>
      <w:r w:rsidR="000C63F4" w:rsidRPr="000C63F4">
        <w:rPr>
          <w:b w:val="0"/>
          <w:szCs w:val="20"/>
        </w:rPr>
        <w:t xml:space="preserve">request documentation of their process for managing </w:t>
      </w:r>
      <w:r w:rsidR="00E60FBC">
        <w:rPr>
          <w:b w:val="0"/>
          <w:szCs w:val="20"/>
        </w:rPr>
        <w:t>o</w:t>
      </w:r>
      <w:r w:rsidR="000C63F4" w:rsidRPr="000C63F4">
        <w:rPr>
          <w:b w:val="0"/>
          <w:szCs w:val="20"/>
        </w:rPr>
        <w:t xml:space="preserve">pen </w:t>
      </w:r>
      <w:r w:rsidR="00E60FBC">
        <w:rPr>
          <w:b w:val="0"/>
          <w:szCs w:val="20"/>
        </w:rPr>
        <w:t>a</w:t>
      </w:r>
      <w:r w:rsidR="000C63F4" w:rsidRPr="000C63F4">
        <w:rPr>
          <w:b w:val="0"/>
          <w:szCs w:val="20"/>
        </w:rPr>
        <w:t>ccess a</w:t>
      </w:r>
      <w:r w:rsidR="006E2709">
        <w:rPr>
          <w:b w:val="0"/>
          <w:szCs w:val="20"/>
        </w:rPr>
        <w:t>s well as</w:t>
      </w:r>
      <w:r w:rsidR="000C63F4" w:rsidRPr="000C63F4">
        <w:rPr>
          <w:b w:val="0"/>
          <w:szCs w:val="20"/>
        </w:rPr>
        <w:t xml:space="preserve"> evidence that they are managing the process effectively</w:t>
      </w:r>
      <w:r w:rsidR="000C63F4">
        <w:rPr>
          <w:b w:val="0"/>
          <w:szCs w:val="20"/>
        </w:rPr>
        <w:t>.</w:t>
      </w:r>
    </w:p>
    <w:p w14:paraId="31490429" w14:textId="77777777" w:rsidR="001464A7" w:rsidRPr="005F6B71" w:rsidRDefault="001464A7" w:rsidP="00011C93">
      <w:pPr>
        <w:spacing w:line="300" w:lineRule="atLeast"/>
        <w:rPr>
          <w:szCs w:val="20"/>
        </w:rPr>
      </w:pPr>
    </w:p>
    <w:p w14:paraId="59316C5D" w14:textId="11447CE9" w:rsidR="005F6B71" w:rsidRPr="004950BC" w:rsidRDefault="00AD6B7D" w:rsidP="005F6B71">
      <w:pPr>
        <w:pStyle w:val="ListParagraph"/>
        <w:numPr>
          <w:ilvl w:val="0"/>
          <w:numId w:val="1"/>
        </w:numPr>
        <w:rPr>
          <w:b w:val="0"/>
        </w:rPr>
      </w:pPr>
      <w:r w:rsidRPr="00011C93">
        <w:rPr>
          <w:b w:val="0"/>
          <w:szCs w:val="20"/>
        </w:rPr>
        <w:lastRenderedPageBreak/>
        <w:t>Sub-panel members will be able to raise audit queries throughout the assessment phase</w:t>
      </w:r>
      <w:r w:rsidR="00A8733C">
        <w:rPr>
          <w:b w:val="0"/>
          <w:szCs w:val="20"/>
        </w:rPr>
        <w:t>.</w:t>
      </w:r>
      <w:r w:rsidR="004735DB">
        <w:rPr>
          <w:b w:val="0"/>
          <w:szCs w:val="20"/>
        </w:rPr>
        <w:t xml:space="preserve"> </w:t>
      </w:r>
      <w:r w:rsidR="007569BE">
        <w:rPr>
          <w:b w:val="0"/>
          <w:szCs w:val="20"/>
        </w:rPr>
        <w:t xml:space="preserve">A consistent approach to </w:t>
      </w:r>
      <w:r w:rsidR="002A765E">
        <w:rPr>
          <w:b w:val="0"/>
          <w:szCs w:val="20"/>
        </w:rPr>
        <w:t xml:space="preserve">audit </w:t>
      </w:r>
      <w:r w:rsidR="00081A85">
        <w:rPr>
          <w:b w:val="0"/>
          <w:szCs w:val="20"/>
        </w:rPr>
        <w:t xml:space="preserve">principles and </w:t>
      </w:r>
      <w:r w:rsidR="007569BE">
        <w:rPr>
          <w:b w:val="0"/>
          <w:szCs w:val="20"/>
        </w:rPr>
        <w:t xml:space="preserve">process will be </w:t>
      </w:r>
      <w:r w:rsidR="002A765E">
        <w:rPr>
          <w:b w:val="0"/>
          <w:szCs w:val="20"/>
        </w:rPr>
        <w:t>under</w:t>
      </w:r>
      <w:r w:rsidR="007569BE">
        <w:rPr>
          <w:b w:val="0"/>
          <w:szCs w:val="20"/>
        </w:rPr>
        <w:t>take</w:t>
      </w:r>
      <w:r w:rsidR="00A6527A">
        <w:rPr>
          <w:b w:val="0"/>
          <w:szCs w:val="20"/>
        </w:rPr>
        <w:t>n for both panel-led audit queries, and those</w:t>
      </w:r>
      <w:r w:rsidR="00745529">
        <w:rPr>
          <w:b w:val="0"/>
          <w:szCs w:val="20"/>
        </w:rPr>
        <w:t xml:space="preserve"> </w:t>
      </w:r>
      <w:r w:rsidR="00876166">
        <w:rPr>
          <w:b w:val="0"/>
          <w:szCs w:val="20"/>
        </w:rPr>
        <w:t xml:space="preserve">that </w:t>
      </w:r>
      <w:r w:rsidR="003119E9">
        <w:rPr>
          <w:b w:val="0"/>
          <w:szCs w:val="20"/>
        </w:rPr>
        <w:t>the REF audit team</w:t>
      </w:r>
      <w:r w:rsidR="00876166">
        <w:rPr>
          <w:b w:val="0"/>
          <w:szCs w:val="20"/>
        </w:rPr>
        <w:t xml:space="preserve"> initiates</w:t>
      </w:r>
      <w:r w:rsidR="003119E9">
        <w:rPr>
          <w:b w:val="0"/>
          <w:szCs w:val="20"/>
        </w:rPr>
        <w:t>.</w:t>
      </w:r>
    </w:p>
    <w:p w14:paraId="581712F6" w14:textId="77777777" w:rsidR="00D51FDD" w:rsidRPr="005F6B71" w:rsidRDefault="00D51FDD" w:rsidP="00805142">
      <w:pPr>
        <w:spacing w:line="300" w:lineRule="atLeast"/>
        <w:rPr>
          <w:rFonts w:eastAsia="Times New Roman" w:cs="Times New Roman"/>
          <w:szCs w:val="20"/>
          <w:lang w:eastAsia="en-GB"/>
        </w:rPr>
      </w:pPr>
    </w:p>
    <w:p w14:paraId="083F45C8" w14:textId="0B78A614" w:rsidR="00496C59" w:rsidRPr="002F5298" w:rsidRDefault="00496C59" w:rsidP="00496C59">
      <w:pPr>
        <w:keepNext/>
        <w:spacing w:line="300" w:lineRule="atLeast"/>
        <w:rPr>
          <w:rFonts w:eastAsia="Times New Roman" w:cs="Times New Roman"/>
          <w:b/>
          <w:sz w:val="36"/>
          <w:szCs w:val="36"/>
          <w:lang w:eastAsia="en-GB"/>
        </w:rPr>
      </w:pPr>
      <w:r w:rsidRPr="00A65E15">
        <w:rPr>
          <w:rFonts w:eastAsia="Times New Roman" w:cs="Times New Roman"/>
          <w:b/>
          <w:sz w:val="36"/>
          <w:szCs w:val="36"/>
          <w:lang w:eastAsia="en-GB"/>
        </w:rPr>
        <w:t xml:space="preserve">Audit </w:t>
      </w:r>
      <w:r w:rsidR="009516AB">
        <w:rPr>
          <w:rFonts w:eastAsia="Times New Roman" w:cs="Times New Roman"/>
          <w:b/>
          <w:sz w:val="36"/>
          <w:szCs w:val="36"/>
          <w:lang w:eastAsia="en-GB"/>
        </w:rPr>
        <w:t>m</w:t>
      </w:r>
      <w:r w:rsidRPr="002F5298">
        <w:rPr>
          <w:rFonts w:eastAsia="Times New Roman" w:cs="Times New Roman"/>
          <w:b/>
          <w:sz w:val="36"/>
          <w:szCs w:val="36"/>
          <w:lang w:eastAsia="en-GB"/>
        </w:rPr>
        <w:t>ethods</w:t>
      </w:r>
    </w:p>
    <w:p w14:paraId="7E64B809" w14:textId="77777777" w:rsidR="00BA24C2" w:rsidRDefault="00BA24C2" w:rsidP="006D5D7B">
      <w:pPr>
        <w:keepNext/>
        <w:spacing w:line="300" w:lineRule="atLeast"/>
        <w:rPr>
          <w:rFonts w:eastAsia="Times New Roman" w:cs="Times New Roman"/>
          <w:szCs w:val="20"/>
          <w:lang w:eastAsia="en-GB"/>
        </w:rPr>
      </w:pPr>
    </w:p>
    <w:p w14:paraId="78F51BD0" w14:textId="77777777" w:rsidR="005F6B71" w:rsidRPr="001C0763" w:rsidRDefault="00BA24C2" w:rsidP="006D5D7B">
      <w:pPr>
        <w:pStyle w:val="ListParagraph"/>
        <w:keepNext/>
        <w:numPr>
          <w:ilvl w:val="0"/>
          <w:numId w:val="1"/>
        </w:numPr>
        <w:rPr>
          <w:b w:val="0"/>
        </w:rPr>
      </w:pPr>
      <w:proofErr w:type="gramStart"/>
      <w:r w:rsidRPr="00011C93">
        <w:rPr>
          <w:b w:val="0"/>
          <w:szCs w:val="20"/>
        </w:rPr>
        <w:t xml:space="preserve">A </w:t>
      </w:r>
      <w:r w:rsidR="00B50124" w:rsidRPr="00011C93">
        <w:rPr>
          <w:b w:val="0"/>
          <w:szCs w:val="20"/>
        </w:rPr>
        <w:t>number of</w:t>
      </w:r>
      <w:proofErr w:type="gramEnd"/>
      <w:r w:rsidR="00B50124" w:rsidRPr="00011C93">
        <w:rPr>
          <w:b w:val="0"/>
          <w:szCs w:val="20"/>
        </w:rPr>
        <w:t xml:space="preserve"> different </w:t>
      </w:r>
      <w:r w:rsidR="00DB202E" w:rsidRPr="00011C93">
        <w:rPr>
          <w:b w:val="0"/>
          <w:szCs w:val="20"/>
        </w:rPr>
        <w:t>audit methods will be used, including:</w:t>
      </w:r>
    </w:p>
    <w:p w14:paraId="6E390627" w14:textId="2E87FFEB" w:rsidR="005F6B71" w:rsidRDefault="009516AB" w:rsidP="006D5D7B">
      <w:pPr>
        <w:keepNext/>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r</w:t>
      </w:r>
      <w:r w:rsidR="005241F9" w:rsidRPr="005F6B71">
        <w:rPr>
          <w:rFonts w:eastAsia="Times New Roman" w:cs="Times New Roman"/>
          <w:szCs w:val="20"/>
          <w:lang w:eastAsia="en-GB"/>
        </w:rPr>
        <w:t>isk asse</w:t>
      </w:r>
      <w:r w:rsidR="00341204" w:rsidRPr="005F6B71">
        <w:rPr>
          <w:rFonts w:eastAsia="Times New Roman" w:cs="Times New Roman"/>
          <w:szCs w:val="20"/>
          <w:lang w:eastAsia="en-GB"/>
        </w:rPr>
        <w:t>ssment of data based on comparisons across matched data sets</w:t>
      </w:r>
    </w:p>
    <w:p w14:paraId="1CADEF4B" w14:textId="3271AC1E" w:rsidR="00341204" w:rsidRPr="005F6B71" w:rsidRDefault="009516AB" w:rsidP="00611849">
      <w:pPr>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r</w:t>
      </w:r>
      <w:r w:rsidR="00341204" w:rsidRPr="005F6B71">
        <w:rPr>
          <w:rFonts w:eastAsia="Times New Roman" w:cs="Times New Roman"/>
          <w:szCs w:val="20"/>
          <w:lang w:eastAsia="en-GB"/>
        </w:rPr>
        <w:t xml:space="preserve">isk scoring of submissions and HEIs to establish </w:t>
      </w:r>
      <w:r w:rsidR="00076BF6" w:rsidRPr="005F6B71">
        <w:rPr>
          <w:rFonts w:eastAsia="Times New Roman" w:cs="Times New Roman"/>
          <w:szCs w:val="20"/>
          <w:lang w:eastAsia="en-GB"/>
        </w:rPr>
        <w:t>levels of confidence in controls and processes</w:t>
      </w:r>
    </w:p>
    <w:p w14:paraId="57C1E417" w14:textId="4DE4DB41" w:rsidR="008F552F" w:rsidRDefault="009516AB" w:rsidP="00611849">
      <w:pPr>
        <w:numPr>
          <w:ilvl w:val="1"/>
          <w:numId w:val="8"/>
        </w:numPr>
        <w:spacing w:line="300" w:lineRule="atLeast"/>
        <w:ind w:left="1134" w:hanging="567"/>
        <w:rPr>
          <w:rFonts w:eastAsia="Times New Roman" w:cs="Times New Roman"/>
          <w:szCs w:val="20"/>
          <w:lang w:eastAsia="en-GB"/>
        </w:rPr>
      </w:pPr>
      <w:r>
        <w:rPr>
          <w:rFonts w:eastAsia="Times New Roman" w:cs="Times New Roman"/>
          <w:szCs w:val="20"/>
          <w:lang w:eastAsia="en-GB"/>
        </w:rPr>
        <w:t>s</w:t>
      </w:r>
      <w:r w:rsidR="00244889">
        <w:rPr>
          <w:rFonts w:eastAsia="Times New Roman" w:cs="Times New Roman"/>
          <w:szCs w:val="20"/>
          <w:lang w:eastAsia="en-GB"/>
        </w:rPr>
        <w:t>ubstantive testing of data through review of supporting evidence</w:t>
      </w:r>
      <w:r w:rsidR="00A37327">
        <w:rPr>
          <w:rFonts w:eastAsia="Times New Roman" w:cs="Times New Roman"/>
          <w:szCs w:val="20"/>
          <w:lang w:eastAsia="en-GB"/>
        </w:rPr>
        <w:t>.</w:t>
      </w:r>
    </w:p>
    <w:p w14:paraId="44582A03" w14:textId="77777777" w:rsidR="00611849" w:rsidRDefault="00611849" w:rsidP="00011C93">
      <w:pPr>
        <w:spacing w:line="300" w:lineRule="atLeast"/>
        <w:rPr>
          <w:rFonts w:eastAsia="Times New Roman" w:cs="Times New Roman"/>
          <w:szCs w:val="20"/>
          <w:lang w:eastAsia="en-GB"/>
        </w:rPr>
      </w:pPr>
    </w:p>
    <w:p w14:paraId="05507EE6" w14:textId="748F4CEE" w:rsidR="005F6B71" w:rsidRDefault="00A37327" w:rsidP="005F6B71">
      <w:pPr>
        <w:pStyle w:val="ListParagraph"/>
        <w:numPr>
          <w:ilvl w:val="0"/>
          <w:numId w:val="1"/>
        </w:numPr>
        <w:rPr>
          <w:b w:val="0"/>
        </w:rPr>
      </w:pPr>
      <w:r>
        <w:rPr>
          <w:b w:val="0"/>
        </w:rPr>
        <w:t>The su</w:t>
      </w:r>
      <w:r w:rsidR="00461822">
        <w:rPr>
          <w:b w:val="0"/>
        </w:rPr>
        <w:t>bs</w:t>
      </w:r>
      <w:r w:rsidR="00F65A32">
        <w:rPr>
          <w:b w:val="0"/>
        </w:rPr>
        <w:t xml:space="preserve">ections below </w:t>
      </w:r>
      <w:r w:rsidR="00461822">
        <w:rPr>
          <w:b w:val="0"/>
        </w:rPr>
        <w:t>set out in</w:t>
      </w:r>
      <w:r w:rsidR="00F65A32">
        <w:rPr>
          <w:b w:val="0"/>
        </w:rPr>
        <w:t xml:space="preserve"> detail </w:t>
      </w:r>
      <w:r w:rsidR="000A6BB4">
        <w:rPr>
          <w:b w:val="0"/>
        </w:rPr>
        <w:t>th</w:t>
      </w:r>
      <w:r w:rsidR="00453102">
        <w:rPr>
          <w:b w:val="0"/>
        </w:rPr>
        <w:t xml:space="preserve">e audit techniques that will be applied to each element of the REF data return, and </w:t>
      </w:r>
      <w:r w:rsidR="00495203">
        <w:rPr>
          <w:b w:val="0"/>
        </w:rPr>
        <w:t>the types of evidence that will be sought when requests are made for corroborating information.</w:t>
      </w:r>
    </w:p>
    <w:p w14:paraId="7C20EDCE" w14:textId="77777777" w:rsidR="00E25C85" w:rsidRDefault="00E25C85" w:rsidP="00805142">
      <w:pPr>
        <w:pStyle w:val="ListParagraph"/>
        <w:ind w:left="0"/>
        <w:rPr>
          <w:b w:val="0"/>
        </w:rPr>
      </w:pPr>
    </w:p>
    <w:p w14:paraId="164FF724" w14:textId="2553C01B" w:rsidR="00DE7952" w:rsidRDefault="00DE7952" w:rsidP="005F6B71">
      <w:pPr>
        <w:pStyle w:val="ListParagraph"/>
        <w:numPr>
          <w:ilvl w:val="0"/>
          <w:numId w:val="1"/>
        </w:numPr>
        <w:rPr>
          <w:b w:val="0"/>
        </w:rPr>
      </w:pPr>
      <w:r w:rsidRPr="00BD465A">
        <w:rPr>
          <w:b w:val="0"/>
        </w:rPr>
        <w:t xml:space="preserve">Data checking and verification will normally be conducted </w:t>
      </w:r>
      <w:r w:rsidR="00461822">
        <w:rPr>
          <w:b w:val="0"/>
        </w:rPr>
        <w:t>through</w:t>
      </w:r>
      <w:r w:rsidR="00461822" w:rsidRPr="00BD465A">
        <w:rPr>
          <w:b w:val="0"/>
        </w:rPr>
        <w:t xml:space="preserve"> </w:t>
      </w:r>
      <w:r w:rsidRPr="00BD465A">
        <w:rPr>
          <w:b w:val="0"/>
        </w:rPr>
        <w:t>correspondence with the REF team.</w:t>
      </w:r>
      <w:r w:rsidR="004735DB">
        <w:rPr>
          <w:b w:val="0"/>
        </w:rPr>
        <w:t xml:space="preserve"> </w:t>
      </w:r>
      <w:r w:rsidR="00461822">
        <w:rPr>
          <w:b w:val="0"/>
        </w:rPr>
        <w:t>However, m</w:t>
      </w:r>
      <w:r w:rsidRPr="00BD465A">
        <w:rPr>
          <w:b w:val="0"/>
        </w:rPr>
        <w:t xml:space="preserve">embers of the REF team and other officers </w:t>
      </w:r>
      <w:r w:rsidR="00DA136D">
        <w:rPr>
          <w:b w:val="0"/>
        </w:rPr>
        <w:t>from</w:t>
      </w:r>
      <w:r w:rsidR="00DA136D" w:rsidRPr="00BD465A">
        <w:rPr>
          <w:b w:val="0"/>
        </w:rPr>
        <w:t xml:space="preserve"> </w:t>
      </w:r>
      <w:r w:rsidRPr="00BD465A">
        <w:rPr>
          <w:b w:val="0"/>
        </w:rPr>
        <w:t>the funding bodies reserve the right to visit HEIs to verify submission information.</w:t>
      </w:r>
      <w:r w:rsidR="004735DB">
        <w:rPr>
          <w:b w:val="0"/>
        </w:rPr>
        <w:t xml:space="preserve"> </w:t>
      </w:r>
      <w:r w:rsidRPr="008303AF">
        <w:rPr>
          <w:b w:val="0"/>
        </w:rPr>
        <w:t xml:space="preserve">See </w:t>
      </w:r>
      <w:r w:rsidR="00F32469" w:rsidRPr="008303AF">
        <w:rPr>
          <w:b w:val="0"/>
        </w:rPr>
        <w:t>paragraph 97</w:t>
      </w:r>
      <w:r w:rsidR="00F32469">
        <w:rPr>
          <w:b w:val="0"/>
        </w:rPr>
        <w:t xml:space="preserve"> of the </w:t>
      </w:r>
      <w:r w:rsidR="00A01C1D">
        <w:rPr>
          <w:b w:val="0"/>
        </w:rPr>
        <w:t>‘</w:t>
      </w:r>
      <w:r w:rsidRPr="001827BF">
        <w:rPr>
          <w:b w:val="0"/>
        </w:rPr>
        <w:t xml:space="preserve">Guidance on </w:t>
      </w:r>
      <w:proofErr w:type="gramStart"/>
      <w:r w:rsidR="00A01C1D">
        <w:rPr>
          <w:b w:val="0"/>
        </w:rPr>
        <w:t>s</w:t>
      </w:r>
      <w:r w:rsidR="00A01C1D" w:rsidRPr="001827BF">
        <w:rPr>
          <w:b w:val="0"/>
        </w:rPr>
        <w:t>ubmissions</w:t>
      </w:r>
      <w:r w:rsidR="00A01C1D">
        <w:rPr>
          <w:b w:val="0"/>
        </w:rPr>
        <w:t>’</w:t>
      </w:r>
      <w:proofErr w:type="gramEnd"/>
      <w:r w:rsidRPr="008303AF">
        <w:rPr>
          <w:b w:val="0"/>
        </w:rPr>
        <w:t>.</w:t>
      </w:r>
    </w:p>
    <w:p w14:paraId="14C8EAEF" w14:textId="77777777" w:rsidR="00DE7952" w:rsidRPr="00202274" w:rsidRDefault="00DE7952" w:rsidP="00805142">
      <w:pPr>
        <w:pStyle w:val="ListParagraph"/>
        <w:ind w:left="0"/>
        <w:rPr>
          <w:b w:val="0"/>
        </w:rPr>
      </w:pPr>
    </w:p>
    <w:p w14:paraId="7AE997E8" w14:textId="18FD9910" w:rsidR="00576931" w:rsidRPr="00805142" w:rsidRDefault="00F26448" w:rsidP="00805142">
      <w:pPr>
        <w:pStyle w:val="ListParagraph"/>
        <w:numPr>
          <w:ilvl w:val="0"/>
          <w:numId w:val="1"/>
        </w:numPr>
        <w:rPr>
          <w:b w:val="0"/>
        </w:rPr>
      </w:pPr>
      <w:r w:rsidRPr="00805142">
        <w:rPr>
          <w:b w:val="0"/>
        </w:rPr>
        <w:t>If HEIs wish to make it available, our verification team may also seek to rely on any relevant internal audit work that an HEI has undertaken in preparing or submitting REF data.</w:t>
      </w:r>
      <w:r w:rsidR="004735DB">
        <w:rPr>
          <w:b w:val="0"/>
        </w:rPr>
        <w:t xml:space="preserve"> </w:t>
      </w:r>
      <w:r w:rsidR="00E25C85" w:rsidRPr="00805142">
        <w:rPr>
          <w:b w:val="0"/>
        </w:rPr>
        <w:t xml:space="preserve">See </w:t>
      </w:r>
      <w:r w:rsidR="0093076E" w:rsidRPr="00805142">
        <w:rPr>
          <w:b w:val="0"/>
        </w:rPr>
        <w:t>paragraph 97</w:t>
      </w:r>
      <w:r w:rsidR="0093076E">
        <w:rPr>
          <w:b w:val="0"/>
        </w:rPr>
        <w:t xml:space="preserve"> of the </w:t>
      </w:r>
      <w:r w:rsidR="00C34DA0">
        <w:rPr>
          <w:b w:val="0"/>
        </w:rPr>
        <w:t>‘</w:t>
      </w:r>
      <w:r w:rsidR="00576931" w:rsidRPr="001827BF">
        <w:rPr>
          <w:b w:val="0"/>
        </w:rPr>
        <w:t xml:space="preserve">Guidance on </w:t>
      </w:r>
      <w:proofErr w:type="gramStart"/>
      <w:r w:rsidR="00C34DA0">
        <w:rPr>
          <w:b w:val="0"/>
        </w:rPr>
        <w:t>s</w:t>
      </w:r>
      <w:r w:rsidR="00C34DA0" w:rsidRPr="001827BF">
        <w:rPr>
          <w:b w:val="0"/>
        </w:rPr>
        <w:t>ubmissions</w:t>
      </w:r>
      <w:r w:rsidR="00C34DA0">
        <w:rPr>
          <w:b w:val="0"/>
        </w:rPr>
        <w:t>’</w:t>
      </w:r>
      <w:proofErr w:type="gramEnd"/>
      <w:r w:rsidR="00576931" w:rsidRPr="00805142">
        <w:rPr>
          <w:b w:val="0"/>
        </w:rPr>
        <w:t>.</w:t>
      </w:r>
    </w:p>
    <w:p w14:paraId="6E758B40" w14:textId="77777777" w:rsidR="00F26448" w:rsidRPr="00805142" w:rsidRDefault="00F26448" w:rsidP="00F26448">
      <w:pPr>
        <w:spacing w:line="300" w:lineRule="atLeast"/>
        <w:rPr>
          <w:rFonts w:eastAsia="Times New Roman" w:cs="Times New Roman"/>
          <w:szCs w:val="20"/>
          <w:lang w:eastAsia="en-GB"/>
        </w:rPr>
      </w:pPr>
    </w:p>
    <w:p w14:paraId="2E6C0CB7" w14:textId="30E1F8AD" w:rsidR="001D0DCD" w:rsidRDefault="001D0DCD" w:rsidP="001D0DCD">
      <w:pPr>
        <w:pStyle w:val="ListParagraph"/>
        <w:numPr>
          <w:ilvl w:val="0"/>
          <w:numId w:val="1"/>
        </w:numPr>
        <w:rPr>
          <w:b w:val="0"/>
        </w:rPr>
      </w:pPr>
      <w:r>
        <w:rPr>
          <w:b w:val="0"/>
        </w:rPr>
        <w:t xml:space="preserve">The </w:t>
      </w:r>
      <w:r w:rsidR="00EA02BC">
        <w:rPr>
          <w:b w:val="0"/>
        </w:rPr>
        <w:t>sub</w:t>
      </w:r>
      <w:r>
        <w:rPr>
          <w:b w:val="0"/>
        </w:rPr>
        <w:t>section</w:t>
      </w:r>
      <w:r w:rsidR="000A00DB">
        <w:rPr>
          <w:b w:val="0"/>
        </w:rPr>
        <w:t>s</w:t>
      </w:r>
      <w:r w:rsidR="004E6139">
        <w:rPr>
          <w:b w:val="0"/>
        </w:rPr>
        <w:t xml:space="preserve"> </w:t>
      </w:r>
      <w:r w:rsidR="00EA02BC">
        <w:rPr>
          <w:b w:val="0"/>
        </w:rPr>
        <w:t xml:space="preserve">below, </w:t>
      </w:r>
      <w:r w:rsidR="004E6139">
        <w:rPr>
          <w:b w:val="0"/>
        </w:rPr>
        <w:t xml:space="preserve">from paragraph </w:t>
      </w:r>
      <w:r w:rsidR="004E6139">
        <w:rPr>
          <w:b w:val="0"/>
        </w:rPr>
        <w:fldChar w:fldCharType="begin"/>
      </w:r>
      <w:r w:rsidR="004E6139">
        <w:rPr>
          <w:b w:val="0"/>
        </w:rPr>
        <w:instrText xml:space="preserve"> REF _Ref5109271 \r \h </w:instrText>
      </w:r>
      <w:r w:rsidR="004E6139">
        <w:rPr>
          <w:b w:val="0"/>
        </w:rPr>
      </w:r>
      <w:r w:rsidR="004E6139">
        <w:rPr>
          <w:b w:val="0"/>
        </w:rPr>
        <w:fldChar w:fldCharType="separate"/>
      </w:r>
      <w:r w:rsidR="00FE72ED">
        <w:rPr>
          <w:b w:val="0"/>
        </w:rPr>
        <w:t>22</w:t>
      </w:r>
      <w:r w:rsidR="004E6139">
        <w:rPr>
          <w:b w:val="0"/>
        </w:rPr>
        <w:fldChar w:fldCharType="end"/>
      </w:r>
      <w:r w:rsidR="004E6139">
        <w:rPr>
          <w:b w:val="0"/>
        </w:rPr>
        <w:t xml:space="preserve"> onwards</w:t>
      </w:r>
      <w:r w:rsidR="00EA02BC">
        <w:rPr>
          <w:b w:val="0"/>
        </w:rPr>
        <w:t>,</w:t>
      </w:r>
      <w:r>
        <w:rPr>
          <w:b w:val="0"/>
        </w:rPr>
        <w:t xml:space="preserve"> </w:t>
      </w:r>
      <w:r w:rsidR="000A00DB">
        <w:rPr>
          <w:b w:val="0"/>
        </w:rPr>
        <w:t xml:space="preserve">describe the </w:t>
      </w:r>
      <w:r w:rsidR="00DF2820">
        <w:rPr>
          <w:b w:val="0"/>
        </w:rPr>
        <w:t xml:space="preserve">typical </w:t>
      </w:r>
      <w:r w:rsidR="000A00DB">
        <w:rPr>
          <w:b w:val="0"/>
        </w:rPr>
        <w:t>audit evidence that w</w:t>
      </w:r>
      <w:r w:rsidR="001A6F02">
        <w:rPr>
          <w:b w:val="0"/>
        </w:rPr>
        <w:t xml:space="preserve">e expect </w:t>
      </w:r>
      <w:r w:rsidR="00A61E9A">
        <w:rPr>
          <w:b w:val="0"/>
        </w:rPr>
        <w:t xml:space="preserve">HEIs will </w:t>
      </w:r>
      <w:r w:rsidR="00FD2265">
        <w:rPr>
          <w:b w:val="0"/>
        </w:rPr>
        <w:t>normal</w:t>
      </w:r>
      <w:r w:rsidR="00A61E9A">
        <w:rPr>
          <w:b w:val="0"/>
        </w:rPr>
        <w:t>ly hold</w:t>
      </w:r>
      <w:r w:rsidR="000A00DB">
        <w:rPr>
          <w:b w:val="0"/>
        </w:rPr>
        <w:t xml:space="preserve"> </w:t>
      </w:r>
      <w:r w:rsidR="00536F48">
        <w:rPr>
          <w:b w:val="0"/>
        </w:rPr>
        <w:t xml:space="preserve">in order to enable </w:t>
      </w:r>
      <w:r w:rsidR="00AE7088">
        <w:rPr>
          <w:b w:val="0"/>
        </w:rPr>
        <w:t>verification of the data being sampled or assessed.</w:t>
      </w:r>
      <w:r w:rsidR="004735DB">
        <w:rPr>
          <w:b w:val="0"/>
        </w:rPr>
        <w:t xml:space="preserve"> </w:t>
      </w:r>
      <w:r w:rsidR="00EE0F63">
        <w:rPr>
          <w:b w:val="0"/>
        </w:rPr>
        <w:t xml:space="preserve">Nevertheless, </w:t>
      </w:r>
      <w:r w:rsidR="00561E8A">
        <w:rPr>
          <w:b w:val="0"/>
        </w:rPr>
        <w:t>we</w:t>
      </w:r>
      <w:r w:rsidR="00EE0F63">
        <w:rPr>
          <w:b w:val="0"/>
        </w:rPr>
        <w:t xml:space="preserve"> recognise that</w:t>
      </w:r>
      <w:r w:rsidR="00561E8A">
        <w:rPr>
          <w:b w:val="0"/>
        </w:rPr>
        <w:t>,</w:t>
      </w:r>
      <w:r w:rsidR="00EE0F63">
        <w:rPr>
          <w:b w:val="0"/>
        </w:rPr>
        <w:t xml:space="preserve"> in certain circumstances</w:t>
      </w:r>
      <w:r w:rsidR="00561E8A">
        <w:rPr>
          <w:b w:val="0"/>
        </w:rPr>
        <w:t>,</w:t>
      </w:r>
      <w:r w:rsidR="00EE0F63">
        <w:rPr>
          <w:b w:val="0"/>
        </w:rPr>
        <w:t xml:space="preserve"> HEIs will hold </w:t>
      </w:r>
      <w:r w:rsidR="00A0114C">
        <w:rPr>
          <w:b w:val="0"/>
        </w:rPr>
        <w:t>other evidence that is different from that described.</w:t>
      </w:r>
      <w:r w:rsidR="004735DB">
        <w:rPr>
          <w:b w:val="0"/>
        </w:rPr>
        <w:t xml:space="preserve"> </w:t>
      </w:r>
      <w:r w:rsidR="00A80149">
        <w:rPr>
          <w:b w:val="0"/>
        </w:rPr>
        <w:t>We will consider such a</w:t>
      </w:r>
      <w:r w:rsidR="00D07B16">
        <w:rPr>
          <w:b w:val="0"/>
        </w:rPr>
        <w:t>lternative evidence on a fair and reasonable basis</w:t>
      </w:r>
      <w:r w:rsidR="001C5768">
        <w:rPr>
          <w:b w:val="0"/>
        </w:rPr>
        <w:t xml:space="preserve">, the aim being to </w:t>
      </w:r>
      <w:r w:rsidR="003A7E5F">
        <w:rPr>
          <w:b w:val="0"/>
        </w:rPr>
        <w:t xml:space="preserve">obtain </w:t>
      </w:r>
      <w:proofErr w:type="gramStart"/>
      <w:r w:rsidR="001C5768">
        <w:rPr>
          <w:b w:val="0"/>
        </w:rPr>
        <w:t>sufficient</w:t>
      </w:r>
      <w:proofErr w:type="gramEnd"/>
      <w:r w:rsidR="001C5768">
        <w:rPr>
          <w:b w:val="0"/>
        </w:rPr>
        <w:t xml:space="preserve"> </w:t>
      </w:r>
      <w:r w:rsidR="006C76C9">
        <w:rPr>
          <w:b w:val="0"/>
        </w:rPr>
        <w:t xml:space="preserve">evidence to verify </w:t>
      </w:r>
      <w:r w:rsidR="00425A4C">
        <w:rPr>
          <w:b w:val="0"/>
        </w:rPr>
        <w:t>the data that are being audited.</w:t>
      </w:r>
    </w:p>
    <w:p w14:paraId="023082B4" w14:textId="77777777" w:rsidR="00A61DDA" w:rsidRPr="009A23E6" w:rsidRDefault="00A61DDA" w:rsidP="00302199">
      <w:pPr>
        <w:pStyle w:val="ListParagraph"/>
        <w:rPr>
          <w:b w:val="0"/>
        </w:rPr>
      </w:pPr>
    </w:p>
    <w:p w14:paraId="1A12EC0A" w14:textId="191399F3" w:rsidR="00A61DDA" w:rsidRDefault="005F71B6" w:rsidP="001D0DCD">
      <w:pPr>
        <w:pStyle w:val="ListParagraph"/>
        <w:numPr>
          <w:ilvl w:val="0"/>
          <w:numId w:val="1"/>
        </w:numPr>
        <w:rPr>
          <w:b w:val="0"/>
        </w:rPr>
      </w:pPr>
      <w:r>
        <w:rPr>
          <w:b w:val="0"/>
        </w:rPr>
        <w:t>Typically, w</w:t>
      </w:r>
      <w:r w:rsidR="00153C39" w:rsidRPr="00C54C69">
        <w:rPr>
          <w:b w:val="0"/>
        </w:rPr>
        <w:t xml:space="preserve">e </w:t>
      </w:r>
      <w:r w:rsidR="004E6E2C">
        <w:rPr>
          <w:b w:val="0"/>
        </w:rPr>
        <w:t>would</w:t>
      </w:r>
      <w:r w:rsidR="00616C74">
        <w:rPr>
          <w:b w:val="0"/>
        </w:rPr>
        <w:t xml:space="preserve"> </w:t>
      </w:r>
      <w:r w:rsidR="004E6E2C">
        <w:rPr>
          <w:b w:val="0"/>
        </w:rPr>
        <w:t>expect</w:t>
      </w:r>
      <w:r w:rsidR="009736A0">
        <w:rPr>
          <w:b w:val="0"/>
        </w:rPr>
        <w:t xml:space="preserve"> </w:t>
      </w:r>
      <w:r w:rsidR="009F489A">
        <w:rPr>
          <w:b w:val="0"/>
        </w:rPr>
        <w:t xml:space="preserve">audit evidence to </w:t>
      </w:r>
      <w:r w:rsidR="002B4BDF">
        <w:rPr>
          <w:b w:val="0"/>
        </w:rPr>
        <w:t xml:space="preserve">comprise </w:t>
      </w:r>
      <w:r w:rsidR="009F489A">
        <w:rPr>
          <w:b w:val="0"/>
        </w:rPr>
        <w:t xml:space="preserve">normal record-keeping that HEIs would </w:t>
      </w:r>
      <w:r w:rsidR="004216F4">
        <w:rPr>
          <w:b w:val="0"/>
        </w:rPr>
        <w:t xml:space="preserve">retain as part of their </w:t>
      </w:r>
      <w:r w:rsidR="00616C74">
        <w:rPr>
          <w:b w:val="0"/>
        </w:rPr>
        <w:t xml:space="preserve">usual </w:t>
      </w:r>
      <w:r w:rsidR="004216F4">
        <w:rPr>
          <w:b w:val="0"/>
        </w:rPr>
        <w:t xml:space="preserve">operations, </w:t>
      </w:r>
      <w:r w:rsidR="007E5D39">
        <w:rPr>
          <w:b w:val="0"/>
        </w:rPr>
        <w:t>including the operation of the REF.</w:t>
      </w:r>
      <w:r w:rsidR="004735DB">
        <w:rPr>
          <w:b w:val="0"/>
        </w:rPr>
        <w:t xml:space="preserve"> </w:t>
      </w:r>
      <w:r w:rsidR="00371380">
        <w:rPr>
          <w:b w:val="0"/>
        </w:rPr>
        <w:t>As such, w</w:t>
      </w:r>
      <w:r w:rsidR="004216F4">
        <w:rPr>
          <w:b w:val="0"/>
        </w:rPr>
        <w:t xml:space="preserve">e </w:t>
      </w:r>
      <w:r w:rsidR="003777EB">
        <w:rPr>
          <w:b w:val="0"/>
        </w:rPr>
        <w:t>would</w:t>
      </w:r>
      <w:r w:rsidR="004216F4">
        <w:rPr>
          <w:b w:val="0"/>
        </w:rPr>
        <w:t xml:space="preserve"> expect HEIs to </w:t>
      </w:r>
      <w:r w:rsidR="00C70085">
        <w:rPr>
          <w:b w:val="0"/>
        </w:rPr>
        <w:t xml:space="preserve">manage their audit evidence in keeping with their usual data management processes, and not to </w:t>
      </w:r>
      <w:r w:rsidR="004216F4">
        <w:rPr>
          <w:b w:val="0"/>
        </w:rPr>
        <w:t>retain records for longer than necessary.</w:t>
      </w:r>
      <w:r w:rsidR="004735DB">
        <w:rPr>
          <w:b w:val="0"/>
        </w:rPr>
        <w:t xml:space="preserve"> </w:t>
      </w:r>
      <w:r w:rsidR="006C1C8F">
        <w:rPr>
          <w:b w:val="0"/>
        </w:rPr>
        <w:t xml:space="preserve">However, HEIs should expect to retain audit evidence </w:t>
      </w:r>
      <w:r w:rsidR="00797B40">
        <w:rPr>
          <w:b w:val="0"/>
        </w:rPr>
        <w:t xml:space="preserve">specifically </w:t>
      </w:r>
      <w:r w:rsidR="001C0459">
        <w:rPr>
          <w:b w:val="0"/>
        </w:rPr>
        <w:t>related to REF 2021</w:t>
      </w:r>
      <w:r w:rsidR="00797B40">
        <w:rPr>
          <w:b w:val="0"/>
        </w:rPr>
        <w:t xml:space="preserve"> until the end of 2021</w:t>
      </w:r>
      <w:r w:rsidR="00A92169">
        <w:rPr>
          <w:b w:val="0"/>
        </w:rPr>
        <w:t xml:space="preserve">, and </w:t>
      </w:r>
      <w:r w:rsidR="00213E78">
        <w:rPr>
          <w:b w:val="0"/>
        </w:rPr>
        <w:t>we</w:t>
      </w:r>
      <w:r w:rsidR="00A92169">
        <w:rPr>
          <w:b w:val="0"/>
        </w:rPr>
        <w:t xml:space="preserve"> recommend t</w:t>
      </w:r>
      <w:r w:rsidR="007B29E9">
        <w:rPr>
          <w:b w:val="0"/>
        </w:rPr>
        <w:t>hat they</w:t>
      </w:r>
      <w:r w:rsidR="00A92169">
        <w:rPr>
          <w:b w:val="0"/>
        </w:rPr>
        <w:t xml:space="preserve"> review and </w:t>
      </w:r>
      <w:r w:rsidR="006433FC">
        <w:rPr>
          <w:b w:val="0"/>
        </w:rPr>
        <w:t xml:space="preserve">update their </w:t>
      </w:r>
      <w:r w:rsidR="006433FC" w:rsidRPr="006433FC">
        <w:rPr>
          <w:b w:val="0"/>
        </w:rPr>
        <w:t>data and records retention schedule</w:t>
      </w:r>
      <w:r w:rsidR="006433FC">
        <w:rPr>
          <w:b w:val="0"/>
        </w:rPr>
        <w:t xml:space="preserve"> </w:t>
      </w:r>
      <w:proofErr w:type="gramStart"/>
      <w:r w:rsidR="006433FC">
        <w:rPr>
          <w:b w:val="0"/>
        </w:rPr>
        <w:t>in light of</w:t>
      </w:r>
      <w:proofErr w:type="gramEnd"/>
      <w:r w:rsidR="006433FC">
        <w:rPr>
          <w:b w:val="0"/>
        </w:rPr>
        <w:t xml:space="preserve"> this guidance.</w:t>
      </w:r>
    </w:p>
    <w:p w14:paraId="62F5FB66" w14:textId="77777777" w:rsidR="00A34562" w:rsidRPr="00566F16" w:rsidRDefault="00A34562" w:rsidP="00C72E4B">
      <w:pPr>
        <w:pStyle w:val="ListParagraph"/>
        <w:rPr>
          <w:b w:val="0"/>
        </w:rPr>
      </w:pPr>
    </w:p>
    <w:p w14:paraId="11BA58A4" w14:textId="540D2A5D" w:rsidR="00A34562" w:rsidRDefault="00A34562" w:rsidP="001D0DCD">
      <w:pPr>
        <w:pStyle w:val="ListParagraph"/>
        <w:numPr>
          <w:ilvl w:val="0"/>
          <w:numId w:val="1"/>
        </w:numPr>
        <w:rPr>
          <w:b w:val="0"/>
        </w:rPr>
      </w:pPr>
      <w:r>
        <w:rPr>
          <w:b w:val="0"/>
        </w:rPr>
        <w:t>The REF will not retain audit evidence for longer than necessary</w:t>
      </w:r>
      <w:r w:rsidR="007E4A62">
        <w:rPr>
          <w:b w:val="0"/>
        </w:rPr>
        <w:t>, and in any case no longer than the end of December 2021</w:t>
      </w:r>
      <w:r w:rsidR="007B29E9">
        <w:rPr>
          <w:b w:val="0"/>
        </w:rPr>
        <w:t>. a</w:t>
      </w:r>
      <w:r w:rsidR="007E4A62">
        <w:rPr>
          <w:b w:val="0"/>
        </w:rPr>
        <w:t xml:space="preserve">fter </w:t>
      </w:r>
      <w:r w:rsidR="007B29E9">
        <w:rPr>
          <w:b w:val="0"/>
        </w:rPr>
        <w:t xml:space="preserve">this date </w:t>
      </w:r>
      <w:r w:rsidR="007E4A62">
        <w:rPr>
          <w:b w:val="0"/>
        </w:rPr>
        <w:t xml:space="preserve">it will be deleted in </w:t>
      </w:r>
      <w:r w:rsidR="0064728B">
        <w:rPr>
          <w:b w:val="0"/>
        </w:rPr>
        <w:t>conformance with our retention and deletion schedule.</w:t>
      </w:r>
    </w:p>
    <w:p w14:paraId="34E7443A" w14:textId="77777777" w:rsidR="00987210" w:rsidRPr="009A23E6" w:rsidRDefault="00987210" w:rsidP="00302199">
      <w:pPr>
        <w:pStyle w:val="ListParagraph"/>
        <w:rPr>
          <w:b w:val="0"/>
        </w:rPr>
      </w:pPr>
    </w:p>
    <w:p w14:paraId="273124D6" w14:textId="7DFBDD88" w:rsidR="00987210" w:rsidRDefault="00C30527" w:rsidP="001D0DCD">
      <w:pPr>
        <w:pStyle w:val="ListParagraph"/>
        <w:numPr>
          <w:ilvl w:val="0"/>
          <w:numId w:val="1"/>
        </w:numPr>
        <w:rPr>
          <w:b w:val="0"/>
        </w:rPr>
      </w:pPr>
      <w:r>
        <w:rPr>
          <w:b w:val="0"/>
        </w:rPr>
        <w:t>We may be required to amend submissions</w:t>
      </w:r>
      <w:r w:rsidR="00216255">
        <w:rPr>
          <w:b w:val="0"/>
        </w:rPr>
        <w:t xml:space="preserve"> in circumstances where substantive evidence has been sought and an HEI has been unable to</w:t>
      </w:r>
      <w:r w:rsidR="009B7E03">
        <w:rPr>
          <w:b w:val="0"/>
        </w:rPr>
        <w:t xml:space="preserve"> </w:t>
      </w:r>
      <w:r w:rsidR="002503D6">
        <w:rPr>
          <w:b w:val="0"/>
        </w:rPr>
        <w:t>provide</w:t>
      </w:r>
      <w:r w:rsidR="009B7E03">
        <w:rPr>
          <w:b w:val="0"/>
        </w:rPr>
        <w:t xml:space="preserve"> evidence</w:t>
      </w:r>
      <w:r w:rsidR="002503D6" w:rsidRPr="001827BF">
        <w:rPr>
          <w:b w:val="0"/>
        </w:rPr>
        <w:t xml:space="preserve"> </w:t>
      </w:r>
      <w:r w:rsidR="002503D6" w:rsidRPr="002503D6">
        <w:rPr>
          <w:b w:val="0"/>
        </w:rPr>
        <w:t>to verify the accuracy of the submitted information</w:t>
      </w:r>
      <w:r w:rsidR="007D3CBD">
        <w:rPr>
          <w:b w:val="0"/>
        </w:rPr>
        <w:t>.</w:t>
      </w:r>
      <w:r w:rsidR="004735DB">
        <w:rPr>
          <w:b w:val="0"/>
        </w:rPr>
        <w:t xml:space="preserve"> </w:t>
      </w:r>
      <w:r w:rsidR="007D3CBD" w:rsidRPr="009B5F3D">
        <w:rPr>
          <w:b w:val="0"/>
        </w:rPr>
        <w:t>HEIs</w:t>
      </w:r>
      <w:r w:rsidR="007D3CBD">
        <w:rPr>
          <w:b w:val="0"/>
        </w:rPr>
        <w:t xml:space="preserve"> will </w:t>
      </w:r>
      <w:r w:rsidR="002F03B0">
        <w:rPr>
          <w:b w:val="0"/>
        </w:rPr>
        <w:t>have th</w:t>
      </w:r>
      <w:r w:rsidR="00345F41">
        <w:rPr>
          <w:b w:val="0"/>
        </w:rPr>
        <w:t>e opportunity to present all relevant evidence</w:t>
      </w:r>
      <w:r w:rsidR="00340209">
        <w:rPr>
          <w:b w:val="0"/>
        </w:rPr>
        <w:t xml:space="preserve">, and </w:t>
      </w:r>
      <w:r w:rsidR="00340209">
        <w:rPr>
          <w:b w:val="0"/>
        </w:rPr>
        <w:lastRenderedPageBreak/>
        <w:t xml:space="preserve">discuss </w:t>
      </w:r>
      <w:r w:rsidR="00EE350D">
        <w:rPr>
          <w:b w:val="0"/>
        </w:rPr>
        <w:t xml:space="preserve">it </w:t>
      </w:r>
      <w:r w:rsidR="00340209">
        <w:rPr>
          <w:b w:val="0"/>
        </w:rPr>
        <w:t>where necessary,</w:t>
      </w:r>
      <w:r w:rsidR="00345F41">
        <w:rPr>
          <w:b w:val="0"/>
        </w:rPr>
        <w:t xml:space="preserve"> </w:t>
      </w:r>
      <w:r w:rsidR="009269A5">
        <w:rPr>
          <w:b w:val="0"/>
        </w:rPr>
        <w:t xml:space="preserve">within the timescales defined in this document, </w:t>
      </w:r>
      <w:r w:rsidR="00345F41">
        <w:rPr>
          <w:b w:val="0"/>
        </w:rPr>
        <w:t xml:space="preserve">before decisions </w:t>
      </w:r>
      <w:r w:rsidR="00EE350D">
        <w:rPr>
          <w:b w:val="0"/>
        </w:rPr>
        <w:t xml:space="preserve">are made </w:t>
      </w:r>
      <w:r w:rsidR="00774A82">
        <w:rPr>
          <w:b w:val="0"/>
        </w:rPr>
        <w:t xml:space="preserve">about </w:t>
      </w:r>
      <w:r w:rsidR="002E117A">
        <w:rPr>
          <w:b w:val="0"/>
        </w:rPr>
        <w:t>amending or correcting submissions</w:t>
      </w:r>
      <w:r w:rsidR="00774A82">
        <w:rPr>
          <w:b w:val="0"/>
        </w:rPr>
        <w:t>.</w:t>
      </w:r>
      <w:r w:rsidR="004735DB">
        <w:rPr>
          <w:b w:val="0"/>
        </w:rPr>
        <w:t xml:space="preserve"> </w:t>
      </w:r>
      <w:r w:rsidR="00AD7D88">
        <w:rPr>
          <w:b w:val="0"/>
        </w:rPr>
        <w:t>A</w:t>
      </w:r>
      <w:r w:rsidR="00B77757">
        <w:rPr>
          <w:b w:val="0"/>
        </w:rPr>
        <w:t>mend</w:t>
      </w:r>
      <w:r w:rsidR="00270740">
        <w:rPr>
          <w:b w:val="0"/>
        </w:rPr>
        <w:t>ments can include grading one or more elements of a submission as unclassified,</w:t>
      </w:r>
      <w:r w:rsidR="00B77757">
        <w:rPr>
          <w:b w:val="0"/>
        </w:rPr>
        <w:t xml:space="preserve"> as described in the </w:t>
      </w:r>
      <w:r w:rsidR="00C34DA0">
        <w:rPr>
          <w:b w:val="0"/>
        </w:rPr>
        <w:t>‘</w:t>
      </w:r>
      <w:r w:rsidR="00B77757" w:rsidRPr="001827BF">
        <w:rPr>
          <w:b w:val="0"/>
        </w:rPr>
        <w:t xml:space="preserve">Guidance on </w:t>
      </w:r>
      <w:proofErr w:type="gramStart"/>
      <w:r w:rsidR="00C34DA0">
        <w:rPr>
          <w:b w:val="0"/>
        </w:rPr>
        <w:t>s</w:t>
      </w:r>
      <w:r w:rsidR="00C34DA0" w:rsidRPr="001827BF">
        <w:rPr>
          <w:b w:val="0"/>
        </w:rPr>
        <w:t>ubmissions</w:t>
      </w:r>
      <w:r w:rsidR="00C34DA0">
        <w:rPr>
          <w:b w:val="0"/>
        </w:rPr>
        <w:t>’</w:t>
      </w:r>
      <w:proofErr w:type="gramEnd"/>
      <w:r w:rsidR="00B77757">
        <w:rPr>
          <w:b w:val="0"/>
        </w:rPr>
        <w:t>.</w:t>
      </w:r>
      <w:r w:rsidR="004735DB">
        <w:rPr>
          <w:b w:val="0"/>
        </w:rPr>
        <w:t xml:space="preserve"> </w:t>
      </w:r>
      <w:r w:rsidR="00521199">
        <w:rPr>
          <w:b w:val="0"/>
        </w:rPr>
        <w:t>Amendment of submissions</w:t>
      </w:r>
      <w:r w:rsidR="00EB04AE">
        <w:rPr>
          <w:b w:val="0"/>
        </w:rPr>
        <w:t>, where required,</w:t>
      </w:r>
      <w:r w:rsidR="00521199">
        <w:rPr>
          <w:b w:val="0"/>
        </w:rPr>
        <w:t xml:space="preserve"> will normally take place during the assessment period. </w:t>
      </w:r>
      <w:r w:rsidR="00EB1091">
        <w:rPr>
          <w:b w:val="0"/>
        </w:rPr>
        <w:t xml:space="preserve">HEIs should note that there is the potential for funding bodies to take actions </w:t>
      </w:r>
      <w:r w:rsidR="005F32D5">
        <w:rPr>
          <w:b w:val="0"/>
        </w:rPr>
        <w:t>other than through amendment of submissions</w:t>
      </w:r>
      <w:r w:rsidR="00084DEE">
        <w:rPr>
          <w:b w:val="0"/>
        </w:rPr>
        <w:t>,</w:t>
      </w:r>
      <w:r w:rsidR="00B20EDD">
        <w:rPr>
          <w:b w:val="0"/>
        </w:rPr>
        <w:t xml:space="preserve"> such as amending funding </w:t>
      </w:r>
      <w:r>
        <w:rPr>
          <w:b w:val="0"/>
        </w:rPr>
        <w:t>o</w:t>
      </w:r>
      <w:r w:rsidR="00B20EDD">
        <w:rPr>
          <w:b w:val="0"/>
        </w:rPr>
        <w:t>utcomes</w:t>
      </w:r>
      <w:r w:rsidR="005F32D5">
        <w:rPr>
          <w:b w:val="0"/>
        </w:rPr>
        <w:t>, where such actions are deemed appropriate and necessary.</w:t>
      </w:r>
    </w:p>
    <w:p w14:paraId="235EEF53" w14:textId="77777777" w:rsidR="003E7179" w:rsidRPr="003E7179" w:rsidRDefault="003E7179" w:rsidP="00805142">
      <w:pPr>
        <w:pStyle w:val="ListParagraph"/>
        <w:rPr>
          <w:b w:val="0"/>
        </w:rPr>
      </w:pPr>
    </w:p>
    <w:p w14:paraId="0C1004DE" w14:textId="27131CC5" w:rsidR="00172190" w:rsidRPr="002F5298" w:rsidRDefault="00172190" w:rsidP="00496C59">
      <w:pPr>
        <w:keepNext/>
        <w:spacing w:line="300" w:lineRule="atLeast"/>
        <w:rPr>
          <w:rFonts w:eastAsia="Times New Roman" w:cs="Times New Roman"/>
          <w:b/>
          <w:sz w:val="24"/>
          <w:szCs w:val="24"/>
          <w:lang w:eastAsia="en-GB"/>
        </w:rPr>
      </w:pPr>
      <w:r w:rsidRPr="00A65E15">
        <w:rPr>
          <w:rFonts w:eastAsia="Times New Roman" w:cs="Times New Roman"/>
          <w:b/>
          <w:sz w:val="24"/>
          <w:szCs w:val="24"/>
          <w:lang w:eastAsia="en-GB"/>
        </w:rPr>
        <w:t xml:space="preserve">Small </w:t>
      </w:r>
      <w:r w:rsidR="00BD6933">
        <w:rPr>
          <w:rFonts w:eastAsia="Times New Roman" w:cs="Times New Roman"/>
          <w:b/>
          <w:sz w:val="24"/>
          <w:szCs w:val="24"/>
          <w:lang w:eastAsia="en-GB"/>
        </w:rPr>
        <w:t>u</w:t>
      </w:r>
      <w:r w:rsidR="0028674F" w:rsidRPr="002F5298">
        <w:rPr>
          <w:rFonts w:eastAsia="Times New Roman" w:cs="Times New Roman"/>
          <w:b/>
          <w:sz w:val="24"/>
          <w:szCs w:val="24"/>
          <w:lang w:eastAsia="en-GB"/>
        </w:rPr>
        <w:t xml:space="preserve">nit </w:t>
      </w:r>
      <w:r w:rsidR="00BD6933">
        <w:rPr>
          <w:rFonts w:eastAsia="Times New Roman" w:cs="Times New Roman"/>
          <w:b/>
          <w:sz w:val="24"/>
          <w:szCs w:val="24"/>
          <w:lang w:eastAsia="en-GB"/>
        </w:rPr>
        <w:t>r</w:t>
      </w:r>
      <w:r w:rsidR="0028674F" w:rsidRPr="002F5298">
        <w:rPr>
          <w:rFonts w:eastAsia="Times New Roman" w:cs="Times New Roman"/>
          <w:b/>
          <w:sz w:val="24"/>
          <w:szCs w:val="24"/>
          <w:lang w:eastAsia="en-GB"/>
        </w:rPr>
        <w:t>equests</w:t>
      </w:r>
    </w:p>
    <w:p w14:paraId="5D977796" w14:textId="77777777" w:rsidR="007E6531" w:rsidRPr="008905AE" w:rsidRDefault="007E6531" w:rsidP="006D5D7B">
      <w:pPr>
        <w:pStyle w:val="ListParagraph"/>
        <w:keepNext/>
        <w:ind w:left="0"/>
        <w:rPr>
          <w:b w:val="0"/>
        </w:rPr>
      </w:pPr>
    </w:p>
    <w:p w14:paraId="16D3A583" w14:textId="14183123" w:rsidR="00100BA4" w:rsidRDefault="00CD264D" w:rsidP="00F74C1B">
      <w:pPr>
        <w:pStyle w:val="ListParagraph"/>
        <w:numPr>
          <w:ilvl w:val="0"/>
          <w:numId w:val="1"/>
        </w:numPr>
        <w:rPr>
          <w:b w:val="0"/>
        </w:rPr>
      </w:pPr>
      <w:bookmarkStart w:id="8" w:name="_Ref5109271"/>
      <w:r>
        <w:rPr>
          <w:b w:val="0"/>
        </w:rPr>
        <w:t>Where the</w:t>
      </w:r>
      <w:r w:rsidR="00F74C1B" w:rsidRPr="00F74C1B">
        <w:rPr>
          <w:b w:val="0"/>
        </w:rPr>
        <w:t xml:space="preserve"> combined </w:t>
      </w:r>
      <w:r w:rsidR="000C59C2">
        <w:rPr>
          <w:b w:val="0"/>
        </w:rPr>
        <w:t>full-time equivalent (</w:t>
      </w:r>
      <w:r w:rsidR="00F74C1B" w:rsidRPr="00F74C1B">
        <w:rPr>
          <w:b w:val="0"/>
        </w:rPr>
        <w:t>FTE</w:t>
      </w:r>
      <w:r w:rsidR="000C59C2">
        <w:rPr>
          <w:b w:val="0"/>
        </w:rPr>
        <w:t>)</w:t>
      </w:r>
      <w:r w:rsidR="00F74C1B" w:rsidRPr="00F74C1B">
        <w:rPr>
          <w:b w:val="0"/>
        </w:rPr>
        <w:t xml:space="preserve"> of</w:t>
      </w:r>
      <w:r w:rsidR="00F74C1B">
        <w:rPr>
          <w:b w:val="0"/>
        </w:rPr>
        <w:t xml:space="preserve"> </w:t>
      </w:r>
      <w:r w:rsidR="00F74C1B" w:rsidRPr="00872C79">
        <w:rPr>
          <w:b w:val="0"/>
        </w:rPr>
        <w:t xml:space="preserve">staff employed with significant responsibility for research in </w:t>
      </w:r>
      <w:r w:rsidR="001A4957">
        <w:rPr>
          <w:b w:val="0"/>
        </w:rPr>
        <w:t>a</w:t>
      </w:r>
      <w:r w:rsidR="001A4957" w:rsidRPr="00872C79">
        <w:rPr>
          <w:b w:val="0"/>
        </w:rPr>
        <w:t xml:space="preserve"> </w:t>
      </w:r>
      <w:r w:rsidR="00F74C1B" w:rsidRPr="00872C79">
        <w:rPr>
          <w:b w:val="0"/>
        </w:rPr>
        <w:t>unit is lower than five FTE</w:t>
      </w:r>
      <w:r w:rsidR="00F74C1B">
        <w:rPr>
          <w:b w:val="0"/>
        </w:rPr>
        <w:t>, and other conditions are satisfied,</w:t>
      </w:r>
      <w:r w:rsidR="00F74C1B" w:rsidRPr="00872C79">
        <w:rPr>
          <w:b w:val="0"/>
        </w:rPr>
        <w:t xml:space="preserve"> </w:t>
      </w:r>
      <w:r w:rsidR="007E6531" w:rsidRPr="001526F3">
        <w:rPr>
          <w:b w:val="0"/>
        </w:rPr>
        <w:t>HEIs</w:t>
      </w:r>
      <w:r w:rsidR="007E6531" w:rsidRPr="00872C79">
        <w:rPr>
          <w:b w:val="0"/>
        </w:rPr>
        <w:t xml:space="preserve"> may choose to submit a</w:t>
      </w:r>
      <w:r w:rsidR="0014352B">
        <w:rPr>
          <w:b w:val="0"/>
        </w:rPr>
        <w:t xml:space="preserve"> request for a</w:t>
      </w:r>
      <w:r w:rsidR="007E6531" w:rsidRPr="00872C79">
        <w:rPr>
          <w:b w:val="0"/>
        </w:rPr>
        <w:t>n exception from submission for small units</w:t>
      </w:r>
      <w:r w:rsidR="00385286">
        <w:rPr>
          <w:b w:val="0"/>
        </w:rPr>
        <w:t>.</w:t>
      </w:r>
      <w:r w:rsidR="007E6531" w:rsidRPr="00872C79">
        <w:rPr>
          <w:b w:val="0"/>
        </w:rPr>
        <w:t xml:space="preserve"> </w:t>
      </w:r>
      <w:r w:rsidR="00385286">
        <w:rPr>
          <w:b w:val="0"/>
        </w:rPr>
        <w:t>Thi</w:t>
      </w:r>
      <w:r w:rsidR="00837AB7">
        <w:rPr>
          <w:b w:val="0"/>
        </w:rPr>
        <w:t>s i</w:t>
      </w:r>
      <w:r w:rsidR="007E6531" w:rsidRPr="00872C79">
        <w:rPr>
          <w:b w:val="0"/>
        </w:rPr>
        <w:t xml:space="preserve">s </w:t>
      </w:r>
      <w:r w:rsidR="00C83A3E" w:rsidRPr="00F74C1B">
        <w:rPr>
          <w:b w:val="0"/>
        </w:rPr>
        <w:t>describe</w:t>
      </w:r>
      <w:r w:rsidR="009D5399">
        <w:rPr>
          <w:b w:val="0"/>
        </w:rPr>
        <w:t>d</w:t>
      </w:r>
      <w:r w:rsidR="00C83A3E" w:rsidRPr="00F74C1B">
        <w:rPr>
          <w:b w:val="0"/>
        </w:rPr>
        <w:t xml:space="preserve"> in paragraphs 68-72 of the </w:t>
      </w:r>
      <w:r w:rsidR="00EC7D24">
        <w:rPr>
          <w:b w:val="0"/>
        </w:rPr>
        <w:t>‘</w:t>
      </w:r>
      <w:r w:rsidR="00C83A3E" w:rsidRPr="001827BF">
        <w:rPr>
          <w:b w:val="0"/>
        </w:rPr>
        <w:t xml:space="preserve">Guidance on </w:t>
      </w:r>
      <w:proofErr w:type="gramStart"/>
      <w:r w:rsidR="00EC7D24">
        <w:rPr>
          <w:b w:val="0"/>
        </w:rPr>
        <w:t>s</w:t>
      </w:r>
      <w:r w:rsidR="00EC7D24" w:rsidRPr="001827BF">
        <w:rPr>
          <w:b w:val="0"/>
        </w:rPr>
        <w:t>ubmissions’</w:t>
      </w:r>
      <w:proofErr w:type="gramEnd"/>
      <w:r w:rsidR="00C83A3E" w:rsidRPr="00F74C1B">
        <w:rPr>
          <w:b w:val="0"/>
        </w:rPr>
        <w:t>.</w:t>
      </w:r>
      <w:r w:rsidR="004735DB">
        <w:rPr>
          <w:b w:val="0"/>
        </w:rPr>
        <w:t xml:space="preserve"> </w:t>
      </w:r>
      <w:r w:rsidR="00FB3284">
        <w:rPr>
          <w:b w:val="0"/>
        </w:rPr>
        <w:t xml:space="preserve">Where </w:t>
      </w:r>
      <w:r w:rsidR="004B3DEC">
        <w:rPr>
          <w:b w:val="0"/>
        </w:rPr>
        <w:t>an HEI</w:t>
      </w:r>
      <w:r w:rsidR="0048367A">
        <w:rPr>
          <w:b w:val="0"/>
        </w:rPr>
        <w:t>’s request is approved, and it does not return the small unit,</w:t>
      </w:r>
      <w:r w:rsidR="004B3DEC">
        <w:rPr>
          <w:b w:val="0"/>
        </w:rPr>
        <w:t xml:space="preserve"> we may </w:t>
      </w:r>
      <w:r w:rsidR="0048367A">
        <w:rPr>
          <w:b w:val="0"/>
        </w:rPr>
        <w:t xml:space="preserve">seek to </w:t>
      </w:r>
      <w:r w:rsidR="00E95196">
        <w:rPr>
          <w:b w:val="0"/>
        </w:rPr>
        <w:t xml:space="preserve">verify </w:t>
      </w:r>
      <w:r w:rsidR="0048367A">
        <w:rPr>
          <w:b w:val="0"/>
        </w:rPr>
        <w:t xml:space="preserve">through audit </w:t>
      </w:r>
      <w:r w:rsidR="00E95196">
        <w:rPr>
          <w:b w:val="0"/>
        </w:rPr>
        <w:t xml:space="preserve">that </w:t>
      </w:r>
      <w:r w:rsidR="0048367A">
        <w:rPr>
          <w:b w:val="0"/>
        </w:rPr>
        <w:t xml:space="preserve">the submission exception </w:t>
      </w:r>
      <w:r w:rsidR="00881886">
        <w:rPr>
          <w:b w:val="0"/>
        </w:rPr>
        <w:t xml:space="preserve">complies with the </w:t>
      </w:r>
      <w:r w:rsidR="0035132A">
        <w:rPr>
          <w:b w:val="0"/>
        </w:rPr>
        <w:t>criteria.</w:t>
      </w:r>
      <w:bookmarkEnd w:id="8"/>
    </w:p>
    <w:p w14:paraId="50815B45" w14:textId="77777777" w:rsidR="0035132A" w:rsidRPr="00872C79" w:rsidRDefault="0035132A" w:rsidP="001526F3">
      <w:pPr>
        <w:pStyle w:val="ListParagraph"/>
        <w:rPr>
          <w:b w:val="0"/>
        </w:rPr>
      </w:pPr>
    </w:p>
    <w:p w14:paraId="0D974740" w14:textId="77777777" w:rsidR="00A90A5A" w:rsidRDefault="0048367A" w:rsidP="00F74C1B">
      <w:pPr>
        <w:pStyle w:val="ListParagraph"/>
        <w:numPr>
          <w:ilvl w:val="0"/>
          <w:numId w:val="1"/>
        </w:numPr>
        <w:rPr>
          <w:b w:val="0"/>
        </w:rPr>
      </w:pPr>
      <w:r>
        <w:rPr>
          <w:b w:val="0"/>
        </w:rPr>
        <w:t>The audit will</w:t>
      </w:r>
      <w:r w:rsidR="004B519A">
        <w:rPr>
          <w:b w:val="0"/>
        </w:rPr>
        <w:t xml:space="preserve"> </w:t>
      </w:r>
      <w:r>
        <w:rPr>
          <w:b w:val="0"/>
        </w:rPr>
        <w:t>compare</w:t>
      </w:r>
      <w:r w:rsidR="004B519A">
        <w:rPr>
          <w:b w:val="0"/>
        </w:rPr>
        <w:t xml:space="preserve"> </w:t>
      </w:r>
      <w:r>
        <w:rPr>
          <w:b w:val="0"/>
        </w:rPr>
        <w:t xml:space="preserve">submission data with </w:t>
      </w:r>
      <w:r w:rsidR="004B519A">
        <w:rPr>
          <w:b w:val="0"/>
        </w:rPr>
        <w:t xml:space="preserve">HESA data </w:t>
      </w:r>
      <w:r w:rsidR="000129C3">
        <w:rPr>
          <w:b w:val="0"/>
        </w:rPr>
        <w:t>for the date</w:t>
      </w:r>
      <w:r w:rsidR="003F2A48">
        <w:rPr>
          <w:b w:val="0"/>
        </w:rPr>
        <w:t>s</w:t>
      </w:r>
      <w:r w:rsidR="000129C3">
        <w:rPr>
          <w:b w:val="0"/>
        </w:rPr>
        <w:t xml:space="preserve"> </w:t>
      </w:r>
      <w:r w:rsidR="00275010">
        <w:rPr>
          <w:b w:val="0"/>
        </w:rPr>
        <w:t>31 July 2019</w:t>
      </w:r>
      <w:r w:rsidR="003F2A48">
        <w:rPr>
          <w:b w:val="0"/>
        </w:rPr>
        <w:t xml:space="preserve"> and 31 July 2020</w:t>
      </w:r>
      <w:r>
        <w:rPr>
          <w:b w:val="0"/>
        </w:rPr>
        <w:t xml:space="preserve"> (the census date)</w:t>
      </w:r>
      <w:r w:rsidR="00275010">
        <w:rPr>
          <w:b w:val="0"/>
        </w:rPr>
        <w:t>.</w:t>
      </w:r>
      <w:r w:rsidR="004735DB">
        <w:rPr>
          <w:b w:val="0"/>
        </w:rPr>
        <w:t xml:space="preserve"> </w:t>
      </w:r>
      <w:r w:rsidR="0088704D">
        <w:rPr>
          <w:b w:val="0"/>
        </w:rPr>
        <w:t xml:space="preserve">Normally we would expect the </w:t>
      </w:r>
      <w:r w:rsidR="0064533F">
        <w:rPr>
          <w:b w:val="0"/>
        </w:rPr>
        <w:t xml:space="preserve">number of staff </w:t>
      </w:r>
      <w:r w:rsidR="0064533F" w:rsidRPr="005543EA">
        <w:rPr>
          <w:b w:val="0"/>
        </w:rPr>
        <w:t>employed</w:t>
      </w:r>
      <w:r w:rsidR="0064533F">
        <w:rPr>
          <w:b w:val="0"/>
        </w:rPr>
        <w:t xml:space="preserve"> in the unit </w:t>
      </w:r>
      <w:r w:rsidR="0064533F" w:rsidRPr="005543EA">
        <w:rPr>
          <w:b w:val="0"/>
        </w:rPr>
        <w:t>with significant responsibility for research</w:t>
      </w:r>
      <w:r w:rsidR="0064533F">
        <w:rPr>
          <w:b w:val="0"/>
        </w:rPr>
        <w:t xml:space="preserve"> on </w:t>
      </w:r>
      <w:r w:rsidR="003F2A48">
        <w:rPr>
          <w:b w:val="0"/>
        </w:rPr>
        <w:t xml:space="preserve">those </w:t>
      </w:r>
      <w:r w:rsidR="001502FA">
        <w:rPr>
          <w:b w:val="0"/>
        </w:rPr>
        <w:t>date</w:t>
      </w:r>
      <w:r w:rsidR="003F2A48">
        <w:rPr>
          <w:b w:val="0"/>
        </w:rPr>
        <w:t>s</w:t>
      </w:r>
      <w:r w:rsidR="001502FA">
        <w:rPr>
          <w:b w:val="0"/>
        </w:rPr>
        <w:t xml:space="preserve"> to be less than 5 FTE</w:t>
      </w:r>
      <w:r w:rsidR="0088704D">
        <w:rPr>
          <w:b w:val="0"/>
        </w:rPr>
        <w:t>.</w:t>
      </w:r>
      <w:r w:rsidR="004735DB">
        <w:rPr>
          <w:b w:val="0"/>
        </w:rPr>
        <w:t xml:space="preserve"> </w:t>
      </w:r>
      <w:r w:rsidR="006E07B1">
        <w:rPr>
          <w:b w:val="0"/>
        </w:rPr>
        <w:t xml:space="preserve">We may seek to verify where the staff profile has significantly changed, and/or where </w:t>
      </w:r>
      <w:r w:rsidR="00A92333">
        <w:rPr>
          <w:b w:val="0"/>
        </w:rPr>
        <w:t>the unit</w:t>
      </w:r>
      <w:r w:rsidR="007E66A4">
        <w:rPr>
          <w:b w:val="0"/>
        </w:rPr>
        <w:t xml:space="preserve"> was submitted in a previous REF.</w:t>
      </w:r>
      <w:r w:rsidR="004735DB">
        <w:rPr>
          <w:b w:val="0"/>
        </w:rPr>
        <w:t xml:space="preserve"> </w:t>
      </w:r>
      <w:r w:rsidR="0024428F">
        <w:rPr>
          <w:b w:val="0"/>
        </w:rPr>
        <w:t xml:space="preserve">Further information </w:t>
      </w:r>
      <w:r w:rsidR="007E66A4">
        <w:rPr>
          <w:b w:val="0"/>
        </w:rPr>
        <w:t xml:space="preserve">may </w:t>
      </w:r>
      <w:r w:rsidR="0024428F">
        <w:rPr>
          <w:b w:val="0"/>
        </w:rPr>
        <w:t xml:space="preserve">be requested if </w:t>
      </w:r>
      <w:r w:rsidR="00DB29CD">
        <w:rPr>
          <w:b w:val="0"/>
        </w:rPr>
        <w:t xml:space="preserve">either </w:t>
      </w:r>
      <w:r w:rsidR="000709A6">
        <w:rPr>
          <w:b w:val="0"/>
        </w:rPr>
        <w:t xml:space="preserve">HESA return </w:t>
      </w:r>
      <w:r w:rsidR="0088704D">
        <w:rPr>
          <w:b w:val="0"/>
        </w:rPr>
        <w:t>indicates</w:t>
      </w:r>
      <w:r w:rsidR="000709A6">
        <w:rPr>
          <w:b w:val="0"/>
        </w:rPr>
        <w:t xml:space="preserve"> that the number of staff</w:t>
      </w:r>
      <w:r w:rsidR="008476A4">
        <w:rPr>
          <w:b w:val="0"/>
        </w:rPr>
        <w:t xml:space="preserve"> </w:t>
      </w:r>
      <w:r w:rsidR="008476A4" w:rsidRPr="005543EA">
        <w:rPr>
          <w:b w:val="0"/>
        </w:rPr>
        <w:t>employed</w:t>
      </w:r>
      <w:r w:rsidR="000709A6">
        <w:rPr>
          <w:b w:val="0"/>
        </w:rPr>
        <w:t xml:space="preserve"> in the </w:t>
      </w:r>
      <w:r w:rsidR="00EE039A">
        <w:rPr>
          <w:b w:val="0"/>
        </w:rPr>
        <w:t>unit</w:t>
      </w:r>
      <w:r w:rsidR="008476A4">
        <w:rPr>
          <w:b w:val="0"/>
        </w:rPr>
        <w:t xml:space="preserve"> </w:t>
      </w:r>
      <w:r w:rsidR="008476A4" w:rsidRPr="005543EA">
        <w:rPr>
          <w:b w:val="0"/>
        </w:rPr>
        <w:t>with significant responsibility for research</w:t>
      </w:r>
      <w:r w:rsidR="00EE039A">
        <w:rPr>
          <w:b w:val="0"/>
        </w:rPr>
        <w:t xml:space="preserve"> is greater than 5 FTE.</w:t>
      </w:r>
      <w:r w:rsidR="004735DB">
        <w:rPr>
          <w:b w:val="0"/>
        </w:rPr>
        <w:t xml:space="preserve"> </w:t>
      </w:r>
      <w:r w:rsidR="00664312">
        <w:rPr>
          <w:b w:val="0"/>
        </w:rPr>
        <w:t xml:space="preserve">Where </w:t>
      </w:r>
      <w:r w:rsidR="00BA7E6F">
        <w:rPr>
          <w:b w:val="0"/>
        </w:rPr>
        <w:t>the explanation is</w:t>
      </w:r>
    </w:p>
    <w:p w14:paraId="7F952C47" w14:textId="77777777" w:rsidR="00A90A5A" w:rsidRPr="00A90A5A" w:rsidRDefault="00A90A5A" w:rsidP="00C34B24">
      <w:pPr>
        <w:pStyle w:val="ListParagraph"/>
        <w:rPr>
          <w:b w:val="0"/>
        </w:rPr>
      </w:pPr>
    </w:p>
    <w:p w14:paraId="18D08B51" w14:textId="40A01C0E" w:rsidR="00A90A5A" w:rsidRDefault="00B92627" w:rsidP="00C34B24">
      <w:pPr>
        <w:pStyle w:val="ListParagraph"/>
        <w:numPr>
          <w:ilvl w:val="1"/>
          <w:numId w:val="1"/>
        </w:numPr>
        <w:rPr>
          <w:b w:val="0"/>
        </w:rPr>
      </w:pPr>
      <w:r>
        <w:rPr>
          <w:b w:val="0"/>
        </w:rPr>
        <w:t>u</w:t>
      </w:r>
      <w:r w:rsidR="00BA7E6F">
        <w:rPr>
          <w:b w:val="0"/>
        </w:rPr>
        <w:t>nsatisfactory</w:t>
      </w:r>
      <w:r>
        <w:rPr>
          <w:b w:val="0"/>
        </w:rPr>
        <w:t>;</w:t>
      </w:r>
      <w:r w:rsidR="00A90A5A">
        <w:rPr>
          <w:b w:val="0"/>
        </w:rPr>
        <w:t xml:space="preserve"> </w:t>
      </w:r>
      <w:r>
        <w:rPr>
          <w:b w:val="0"/>
        </w:rPr>
        <w:t>or</w:t>
      </w:r>
    </w:p>
    <w:p w14:paraId="137D6F15" w14:textId="5961219F" w:rsidR="00A90A5A" w:rsidRDefault="00B92627">
      <w:pPr>
        <w:pStyle w:val="ListParagraph"/>
        <w:numPr>
          <w:ilvl w:val="1"/>
          <w:numId w:val="1"/>
        </w:numPr>
        <w:rPr>
          <w:b w:val="0"/>
        </w:rPr>
      </w:pPr>
      <w:r>
        <w:rPr>
          <w:b w:val="0"/>
        </w:rPr>
        <w:t>c</w:t>
      </w:r>
      <w:r w:rsidR="00A90A5A">
        <w:rPr>
          <w:b w:val="0"/>
        </w:rPr>
        <w:t>ontradicts the rationale for exception provided in the initial request</w:t>
      </w:r>
    </w:p>
    <w:p w14:paraId="4E1B2523" w14:textId="77777777" w:rsidR="00DB29CD" w:rsidRDefault="00DB29CD" w:rsidP="006E53DC">
      <w:pPr>
        <w:pStyle w:val="ListParagraph"/>
        <w:ind w:left="567"/>
        <w:rPr>
          <w:b w:val="0"/>
        </w:rPr>
      </w:pPr>
    </w:p>
    <w:p w14:paraId="026C8583" w14:textId="77777777" w:rsidR="0035132A" w:rsidRPr="00A90A5A" w:rsidRDefault="00BA7E6F" w:rsidP="00C34B24">
      <w:pPr>
        <w:ind w:left="567"/>
      </w:pPr>
      <w:r w:rsidRPr="00A90A5A">
        <w:t>we reserve the right to require the HEI to submit all staff</w:t>
      </w:r>
      <w:r w:rsidR="003711E9">
        <w:t xml:space="preserve"> in the unit with significant responsibility for research</w:t>
      </w:r>
      <w:r w:rsidR="00112875" w:rsidRPr="00A90A5A">
        <w:t>, and unclassified scores will be given to each element of the submission.</w:t>
      </w:r>
    </w:p>
    <w:p w14:paraId="184AA53E" w14:textId="77777777" w:rsidR="00275010" w:rsidRPr="00872C79" w:rsidRDefault="00275010" w:rsidP="001526F3">
      <w:pPr>
        <w:pStyle w:val="ListParagraph"/>
        <w:rPr>
          <w:b w:val="0"/>
        </w:rPr>
      </w:pPr>
    </w:p>
    <w:p w14:paraId="02B20D47" w14:textId="77777777" w:rsidR="0028674F" w:rsidRPr="00805142" w:rsidRDefault="0028674F" w:rsidP="0028674F">
      <w:pPr>
        <w:spacing w:line="300" w:lineRule="atLeast"/>
        <w:rPr>
          <w:rFonts w:eastAsia="Times New Roman" w:cs="Times New Roman"/>
          <w:szCs w:val="20"/>
          <w:lang w:eastAsia="en-GB"/>
        </w:rPr>
      </w:pPr>
    </w:p>
    <w:p w14:paraId="03B4076E" w14:textId="77777777" w:rsidR="00496C59" w:rsidRPr="00001D29" w:rsidRDefault="00496C59" w:rsidP="00496C59">
      <w:pPr>
        <w:keepNext/>
        <w:spacing w:line="300" w:lineRule="atLeast"/>
        <w:rPr>
          <w:rFonts w:eastAsia="Times New Roman" w:cs="Times New Roman"/>
          <w:b/>
          <w:sz w:val="24"/>
          <w:szCs w:val="24"/>
          <w:lang w:eastAsia="en-GB"/>
        </w:rPr>
      </w:pPr>
      <w:r w:rsidRPr="00A65E15">
        <w:rPr>
          <w:rFonts w:eastAsia="Times New Roman" w:cs="Times New Roman"/>
          <w:b/>
          <w:sz w:val="24"/>
          <w:szCs w:val="24"/>
          <w:lang w:eastAsia="en-GB"/>
        </w:rPr>
        <w:t>Staff details (REF1a/b)</w:t>
      </w:r>
    </w:p>
    <w:p w14:paraId="2C8DC801" w14:textId="77777777" w:rsidR="00496C59" w:rsidRDefault="00496C59" w:rsidP="007D4146">
      <w:pPr>
        <w:rPr>
          <w:lang w:eastAsia="en-GB"/>
        </w:rPr>
      </w:pPr>
    </w:p>
    <w:p w14:paraId="563E8BF2" w14:textId="7E53B71C" w:rsidR="00D84E51" w:rsidRDefault="00D84E51" w:rsidP="00D84E51">
      <w:pPr>
        <w:pStyle w:val="ListParagraph"/>
        <w:numPr>
          <w:ilvl w:val="0"/>
          <w:numId w:val="1"/>
        </w:numPr>
        <w:rPr>
          <w:b w:val="0"/>
        </w:rPr>
      </w:pPr>
      <w:r>
        <w:rPr>
          <w:b w:val="0"/>
        </w:rPr>
        <w:t xml:space="preserve">In general, and notwithstanding the </w:t>
      </w:r>
      <w:r w:rsidR="00E85AB8">
        <w:rPr>
          <w:b w:val="0"/>
        </w:rPr>
        <w:t xml:space="preserve">various points set out in the </w:t>
      </w:r>
      <w:r>
        <w:rPr>
          <w:b w:val="0"/>
        </w:rPr>
        <w:t xml:space="preserve">following paragraphs, </w:t>
      </w:r>
      <w:r w:rsidRPr="00805142">
        <w:rPr>
          <w:b w:val="0"/>
        </w:rPr>
        <w:t>HEIs will need to be able to verify through audit that they have submitted all eligible staff and that all submitted staff are eligible.</w:t>
      </w:r>
      <w:r w:rsidR="004735DB">
        <w:rPr>
          <w:b w:val="0"/>
        </w:rPr>
        <w:t xml:space="preserve"> </w:t>
      </w:r>
      <w:r>
        <w:rPr>
          <w:b w:val="0"/>
        </w:rPr>
        <w:t xml:space="preserve">This will include </w:t>
      </w:r>
      <w:r w:rsidR="0069269A">
        <w:rPr>
          <w:b w:val="0"/>
        </w:rPr>
        <w:t xml:space="preserve">providing </w:t>
      </w:r>
      <w:r>
        <w:rPr>
          <w:b w:val="0"/>
        </w:rPr>
        <w:t xml:space="preserve">evidence </w:t>
      </w:r>
      <w:r w:rsidR="009C1510">
        <w:rPr>
          <w:b w:val="0"/>
        </w:rPr>
        <w:t>that all eligible</w:t>
      </w:r>
      <w:r>
        <w:rPr>
          <w:b w:val="0"/>
        </w:rPr>
        <w:t xml:space="preserve"> staff </w:t>
      </w:r>
      <w:r w:rsidR="0069269A">
        <w:rPr>
          <w:b w:val="0"/>
        </w:rPr>
        <w:t xml:space="preserve">who </w:t>
      </w:r>
      <w:r w:rsidRPr="00261E5C">
        <w:rPr>
          <w:b w:val="0"/>
        </w:rPr>
        <w:t>hav</w:t>
      </w:r>
      <w:r w:rsidR="0069269A">
        <w:rPr>
          <w:b w:val="0"/>
        </w:rPr>
        <w:t>e</w:t>
      </w:r>
      <w:r w:rsidRPr="00261E5C">
        <w:rPr>
          <w:b w:val="0"/>
        </w:rPr>
        <w:t xml:space="preserve"> significant responsibility</w:t>
      </w:r>
      <w:r>
        <w:rPr>
          <w:b w:val="0"/>
        </w:rPr>
        <w:t xml:space="preserve"> </w:t>
      </w:r>
      <w:r w:rsidRPr="00261E5C">
        <w:rPr>
          <w:b w:val="0"/>
        </w:rPr>
        <w:t>for research</w:t>
      </w:r>
      <w:r w:rsidR="007211A3">
        <w:rPr>
          <w:b w:val="0"/>
        </w:rPr>
        <w:t xml:space="preserve"> have been submitted</w:t>
      </w:r>
      <w:r w:rsidR="00BC2ABA">
        <w:rPr>
          <w:b w:val="0"/>
        </w:rPr>
        <w:t>,</w:t>
      </w:r>
      <w:r w:rsidRPr="00261E5C">
        <w:rPr>
          <w:b w:val="0"/>
        </w:rPr>
        <w:t xml:space="preserve"> </w:t>
      </w:r>
      <w:r>
        <w:rPr>
          <w:b w:val="0"/>
        </w:rPr>
        <w:t>and</w:t>
      </w:r>
      <w:r w:rsidR="00BC2ABA">
        <w:rPr>
          <w:b w:val="0"/>
        </w:rPr>
        <w:t xml:space="preserve"> that</w:t>
      </w:r>
      <w:r>
        <w:rPr>
          <w:b w:val="0"/>
        </w:rPr>
        <w:t xml:space="preserve"> </w:t>
      </w:r>
      <w:r w:rsidR="00BC2ABA">
        <w:rPr>
          <w:b w:val="0"/>
        </w:rPr>
        <w:t xml:space="preserve">those </w:t>
      </w:r>
      <w:r>
        <w:rPr>
          <w:b w:val="0"/>
        </w:rPr>
        <w:t>on a research-only contract</w:t>
      </w:r>
      <w:r w:rsidR="00290A42">
        <w:rPr>
          <w:b w:val="0"/>
        </w:rPr>
        <w:t xml:space="preserve"> were</w:t>
      </w:r>
      <w:r>
        <w:rPr>
          <w:b w:val="0"/>
        </w:rPr>
        <w:t xml:space="preserve"> independent researchers </w:t>
      </w:r>
      <w:r w:rsidRPr="00261E5C">
        <w:rPr>
          <w:b w:val="0"/>
        </w:rPr>
        <w:t>on the census date.</w:t>
      </w:r>
    </w:p>
    <w:p w14:paraId="388B9958" w14:textId="77777777" w:rsidR="007D4146" w:rsidRPr="000A774C" w:rsidRDefault="007D4146" w:rsidP="00427A08">
      <w:pPr>
        <w:rPr>
          <w:lang w:eastAsia="en-GB"/>
        </w:rPr>
      </w:pPr>
    </w:p>
    <w:p w14:paraId="5E869FA1" w14:textId="77777777" w:rsidR="00496C59" w:rsidRPr="00BA7DD2" w:rsidRDefault="00496C59" w:rsidP="00496C59">
      <w:pPr>
        <w:pStyle w:val="ListParagraph"/>
        <w:numPr>
          <w:ilvl w:val="0"/>
          <w:numId w:val="1"/>
        </w:numPr>
        <w:rPr>
          <w:b w:val="0"/>
        </w:rPr>
      </w:pPr>
      <w:bookmarkStart w:id="9" w:name="_Ref10559654"/>
      <w:r w:rsidRPr="00EA5EA7">
        <w:rPr>
          <w:b w:val="0"/>
          <w:szCs w:val="20"/>
        </w:rPr>
        <w:t xml:space="preserve">A selection of staff </w:t>
      </w:r>
      <w:r w:rsidR="00583B9D">
        <w:rPr>
          <w:b w:val="0"/>
          <w:szCs w:val="20"/>
        </w:rPr>
        <w:t>from</w:t>
      </w:r>
      <w:r w:rsidRPr="00EA5EA7">
        <w:rPr>
          <w:b w:val="0"/>
          <w:szCs w:val="20"/>
        </w:rPr>
        <w:t xml:space="preserve"> each HEI in at least one and </w:t>
      </w:r>
      <w:r w:rsidR="00170605">
        <w:rPr>
          <w:b w:val="0"/>
          <w:szCs w:val="20"/>
        </w:rPr>
        <w:t xml:space="preserve">initially </w:t>
      </w:r>
      <w:r w:rsidRPr="00EA5EA7">
        <w:rPr>
          <w:b w:val="0"/>
          <w:szCs w:val="20"/>
        </w:rPr>
        <w:t xml:space="preserve">up to four </w:t>
      </w:r>
      <w:r w:rsidR="008B6F31">
        <w:rPr>
          <w:b w:val="0"/>
          <w:szCs w:val="20"/>
        </w:rPr>
        <w:t>Units of Assessment (</w:t>
      </w:r>
      <w:r w:rsidRPr="00EA5EA7">
        <w:rPr>
          <w:b w:val="0"/>
          <w:szCs w:val="20"/>
        </w:rPr>
        <w:t>UOAs</w:t>
      </w:r>
      <w:r w:rsidR="008B6F31">
        <w:rPr>
          <w:b w:val="0"/>
          <w:szCs w:val="20"/>
        </w:rPr>
        <w:t>)</w:t>
      </w:r>
      <w:r w:rsidRPr="00EA5EA7">
        <w:rPr>
          <w:b w:val="0"/>
          <w:szCs w:val="20"/>
        </w:rPr>
        <w:t xml:space="preserve"> will be audited, depending on the scale of the HEI’s submissions. For this sample we will seek to verify st</w:t>
      </w:r>
      <w:r>
        <w:rPr>
          <w:b w:val="0"/>
          <w:szCs w:val="20"/>
        </w:rPr>
        <w:t>aff eligibility and submitted FTE.</w:t>
      </w:r>
      <w:r w:rsidR="004735DB">
        <w:rPr>
          <w:b w:val="0"/>
          <w:szCs w:val="20"/>
        </w:rPr>
        <w:t xml:space="preserve"> </w:t>
      </w:r>
      <w:r>
        <w:rPr>
          <w:b w:val="0"/>
          <w:szCs w:val="20"/>
        </w:rPr>
        <w:t>Up to 40 staff will be selected from each HEI, by random selection.</w:t>
      </w:r>
      <w:r w:rsidR="004735DB">
        <w:rPr>
          <w:b w:val="0"/>
          <w:szCs w:val="20"/>
        </w:rPr>
        <w:t xml:space="preserve"> </w:t>
      </w:r>
      <w:r w:rsidR="00583B9D">
        <w:rPr>
          <w:b w:val="0"/>
          <w:szCs w:val="20"/>
        </w:rPr>
        <w:t xml:space="preserve">The selection will include both submitted staff, and staff not </w:t>
      </w:r>
      <w:r w:rsidR="00583B9D">
        <w:rPr>
          <w:b w:val="0"/>
          <w:szCs w:val="20"/>
        </w:rPr>
        <w:lastRenderedPageBreak/>
        <w:t xml:space="preserve">submitted </w:t>
      </w:r>
      <w:r w:rsidR="00510987">
        <w:rPr>
          <w:b w:val="0"/>
          <w:szCs w:val="20"/>
        </w:rPr>
        <w:t xml:space="preserve">who </w:t>
      </w:r>
      <w:r w:rsidR="00BA17D7">
        <w:rPr>
          <w:b w:val="0"/>
          <w:szCs w:val="20"/>
        </w:rPr>
        <w:t>are identified through the 2019/20 HESA staff record as Category A eligible</w:t>
      </w:r>
      <w:r w:rsidR="00510987">
        <w:rPr>
          <w:b w:val="0"/>
          <w:szCs w:val="20"/>
        </w:rPr>
        <w:t>.</w:t>
      </w:r>
      <w:r w:rsidR="004735DB">
        <w:rPr>
          <w:b w:val="0"/>
          <w:szCs w:val="20"/>
        </w:rPr>
        <w:t xml:space="preserve"> </w:t>
      </w:r>
      <w:r w:rsidR="00347723">
        <w:rPr>
          <w:b w:val="0"/>
          <w:szCs w:val="20"/>
        </w:rPr>
        <w:t xml:space="preserve">Where significant issues are identified, we may </w:t>
      </w:r>
      <w:r w:rsidR="00417CB9">
        <w:rPr>
          <w:b w:val="0"/>
          <w:szCs w:val="20"/>
        </w:rPr>
        <w:t>request further staff records from more UOAs.</w:t>
      </w:r>
      <w:bookmarkEnd w:id="9"/>
    </w:p>
    <w:p w14:paraId="6DA6DB72" w14:textId="77777777" w:rsidR="00496C59" w:rsidRPr="00BA7DD2" w:rsidRDefault="00496C59" w:rsidP="00496C59">
      <w:pPr>
        <w:pStyle w:val="ListParagraph"/>
        <w:ind w:left="0"/>
        <w:rPr>
          <w:b w:val="0"/>
        </w:rPr>
      </w:pPr>
    </w:p>
    <w:p w14:paraId="353D9D33" w14:textId="77777777" w:rsidR="00496C59" w:rsidRDefault="003520E0" w:rsidP="006D5D7B">
      <w:pPr>
        <w:pStyle w:val="ListParagraph"/>
        <w:keepNext/>
        <w:numPr>
          <w:ilvl w:val="0"/>
          <w:numId w:val="1"/>
        </w:numPr>
        <w:rPr>
          <w:b w:val="0"/>
        </w:rPr>
      </w:pPr>
      <w:bookmarkStart w:id="10" w:name="_Ref5374492"/>
      <w:r>
        <w:rPr>
          <w:b w:val="0"/>
        </w:rPr>
        <w:t>For Category A submitted staff</w:t>
      </w:r>
      <w:r w:rsidR="00BA17D7">
        <w:rPr>
          <w:b w:val="0"/>
        </w:rPr>
        <w:t xml:space="preserve"> included in the selection</w:t>
      </w:r>
      <w:r>
        <w:rPr>
          <w:b w:val="0"/>
        </w:rPr>
        <w:t>, w</w:t>
      </w:r>
      <w:r w:rsidR="0047377D">
        <w:rPr>
          <w:b w:val="0"/>
        </w:rPr>
        <w:t xml:space="preserve">e will ask each </w:t>
      </w:r>
      <w:r w:rsidR="00496C59" w:rsidRPr="00BA7DD2">
        <w:rPr>
          <w:b w:val="0"/>
        </w:rPr>
        <w:t>HEI to verify eligibility</w:t>
      </w:r>
      <w:r w:rsidR="00417CB9">
        <w:rPr>
          <w:b w:val="0"/>
        </w:rPr>
        <w:t xml:space="preserve"> and</w:t>
      </w:r>
      <w:r w:rsidR="00417CB9" w:rsidRPr="00BA7DD2">
        <w:rPr>
          <w:b w:val="0"/>
        </w:rPr>
        <w:t xml:space="preserve"> </w:t>
      </w:r>
      <w:r w:rsidR="00496C59" w:rsidRPr="00BA7DD2">
        <w:rPr>
          <w:b w:val="0"/>
        </w:rPr>
        <w:t>FTE by providing relevant extracts of contracts, payroll or personnel records, or associated job descriptions</w:t>
      </w:r>
      <w:r w:rsidR="006B542A">
        <w:rPr>
          <w:b w:val="0"/>
        </w:rPr>
        <w:t>, indicating the status of staff on the census date</w:t>
      </w:r>
      <w:r w:rsidR="00ED71B9">
        <w:rPr>
          <w:rStyle w:val="FootnoteReference"/>
          <w:b w:val="0"/>
        </w:rPr>
        <w:footnoteReference w:id="4"/>
      </w:r>
      <w:r w:rsidR="00496C59" w:rsidRPr="00BA7DD2">
        <w:rPr>
          <w:b w:val="0"/>
        </w:rPr>
        <w:t>.</w:t>
      </w:r>
      <w:r w:rsidR="004735DB">
        <w:rPr>
          <w:b w:val="0"/>
        </w:rPr>
        <w:t xml:space="preserve"> </w:t>
      </w:r>
      <w:bookmarkStart w:id="11" w:name="_Ref2870539"/>
      <w:r w:rsidR="005D3695">
        <w:rPr>
          <w:b w:val="0"/>
        </w:rPr>
        <w:t xml:space="preserve">Suitable evidence </w:t>
      </w:r>
      <w:r w:rsidR="00496C59">
        <w:rPr>
          <w:b w:val="0"/>
        </w:rPr>
        <w:t>will include:</w:t>
      </w:r>
      <w:bookmarkEnd w:id="10"/>
      <w:bookmarkEnd w:id="11"/>
    </w:p>
    <w:p w14:paraId="17C47FE0" w14:textId="77777777" w:rsidR="00496C59" w:rsidRPr="00BA7DD2" w:rsidRDefault="00496C59" w:rsidP="00496C59"/>
    <w:p w14:paraId="686A7FC0" w14:textId="2292FD77" w:rsidR="00496C59" w:rsidRDefault="00496C59" w:rsidP="00496C59">
      <w:pPr>
        <w:pStyle w:val="ListParagraph"/>
        <w:numPr>
          <w:ilvl w:val="1"/>
          <w:numId w:val="1"/>
        </w:numPr>
        <w:rPr>
          <w:b w:val="0"/>
        </w:rPr>
      </w:pPr>
      <w:r w:rsidRPr="00BA7DD2">
        <w:rPr>
          <w:b w:val="0"/>
        </w:rPr>
        <w:t>PDFs exported directly from</w:t>
      </w:r>
      <w:r w:rsidR="00D31897">
        <w:rPr>
          <w:b w:val="0"/>
        </w:rPr>
        <w:t>,</w:t>
      </w:r>
      <w:r w:rsidRPr="00BA7DD2">
        <w:rPr>
          <w:b w:val="0"/>
        </w:rPr>
        <w:t xml:space="preserve"> or screenshots of</w:t>
      </w:r>
      <w:r w:rsidR="00D31897">
        <w:rPr>
          <w:b w:val="0"/>
        </w:rPr>
        <w:t>,</w:t>
      </w:r>
      <w:r w:rsidRPr="00BA7DD2">
        <w:rPr>
          <w:b w:val="0"/>
        </w:rPr>
        <w:t xml:space="preserve"> payroll systems. Evidence formats must demonstrate that the data provided are in the state </w:t>
      </w:r>
      <w:r w:rsidR="00924CDC">
        <w:rPr>
          <w:b w:val="0"/>
        </w:rPr>
        <w:t xml:space="preserve">in </w:t>
      </w:r>
      <w:r w:rsidRPr="00BA7DD2">
        <w:rPr>
          <w:b w:val="0"/>
        </w:rPr>
        <w:t xml:space="preserve">which they </w:t>
      </w:r>
      <w:r w:rsidR="00924CDC">
        <w:rPr>
          <w:b w:val="0"/>
        </w:rPr>
        <w:t xml:space="preserve">are </w:t>
      </w:r>
      <w:r w:rsidRPr="00BA7DD2">
        <w:rPr>
          <w:b w:val="0"/>
        </w:rPr>
        <w:t>held on the payroll system and have not been subject to alteration (</w:t>
      </w:r>
      <w:r w:rsidR="004E1268">
        <w:rPr>
          <w:b w:val="0"/>
        </w:rPr>
        <w:t>for example,</w:t>
      </w:r>
      <w:r w:rsidRPr="00BA7DD2">
        <w:rPr>
          <w:b w:val="0"/>
        </w:rPr>
        <w:t xml:space="preserve"> an Excel spreadsheet will not be accepted)</w:t>
      </w:r>
      <w:r>
        <w:rPr>
          <w:b w:val="0"/>
        </w:rPr>
        <w:t>.</w:t>
      </w:r>
    </w:p>
    <w:p w14:paraId="58B3DE9C" w14:textId="77777777" w:rsidR="00496C59" w:rsidRDefault="00496C59" w:rsidP="00496C59">
      <w:pPr>
        <w:pStyle w:val="ListParagraph"/>
        <w:ind w:left="567"/>
        <w:rPr>
          <w:b w:val="0"/>
        </w:rPr>
      </w:pPr>
    </w:p>
    <w:p w14:paraId="076FFC2A" w14:textId="77777777" w:rsidR="00496C59" w:rsidRDefault="00496C59" w:rsidP="00496C59">
      <w:pPr>
        <w:pStyle w:val="ListParagraph"/>
        <w:numPr>
          <w:ilvl w:val="1"/>
          <w:numId w:val="1"/>
        </w:numPr>
        <w:rPr>
          <w:b w:val="0"/>
        </w:rPr>
      </w:pPr>
      <w:r w:rsidRPr="00BA7DD2">
        <w:rPr>
          <w:b w:val="0"/>
        </w:rPr>
        <w:t>Copies of relevant extracts from staff contracts or full contracts with relevant information highlighted (with sensitive data such as salary information removed).</w:t>
      </w:r>
      <w:r w:rsidR="004735DB">
        <w:rPr>
          <w:b w:val="0"/>
        </w:rPr>
        <w:t xml:space="preserve"> </w:t>
      </w:r>
      <w:r w:rsidR="00466F46">
        <w:rPr>
          <w:b w:val="0"/>
        </w:rPr>
        <w:t xml:space="preserve">Normally we would expect </w:t>
      </w:r>
      <w:r w:rsidR="00DB0DC6">
        <w:rPr>
          <w:b w:val="0"/>
        </w:rPr>
        <w:t xml:space="preserve">contracts to show that </w:t>
      </w:r>
      <w:r w:rsidR="00022244">
        <w:rPr>
          <w:b w:val="0"/>
        </w:rPr>
        <w:t xml:space="preserve">the </w:t>
      </w:r>
      <w:r w:rsidR="00022244" w:rsidRPr="00022244">
        <w:rPr>
          <w:b w:val="0"/>
        </w:rPr>
        <w:t xml:space="preserve">primary employment function is </w:t>
      </w:r>
      <w:r w:rsidR="00596416">
        <w:rPr>
          <w:b w:val="0"/>
        </w:rPr>
        <w:t xml:space="preserve">either </w:t>
      </w:r>
      <w:r w:rsidR="00022244" w:rsidRPr="00022244">
        <w:rPr>
          <w:b w:val="0"/>
        </w:rPr>
        <w:t>research or teaching and research</w:t>
      </w:r>
      <w:r w:rsidR="00022244">
        <w:rPr>
          <w:b w:val="0"/>
        </w:rPr>
        <w:t>.</w:t>
      </w:r>
    </w:p>
    <w:p w14:paraId="6E29838A" w14:textId="77777777" w:rsidR="005D1264" w:rsidRPr="009A23E6" w:rsidRDefault="005D1264" w:rsidP="00EA4BF0">
      <w:pPr>
        <w:pStyle w:val="ListParagraph"/>
        <w:rPr>
          <w:b w:val="0"/>
        </w:rPr>
      </w:pPr>
    </w:p>
    <w:p w14:paraId="49A82C62" w14:textId="78649E05" w:rsidR="005D1264" w:rsidRDefault="008B01D9" w:rsidP="00496C59">
      <w:pPr>
        <w:pStyle w:val="ListParagraph"/>
        <w:numPr>
          <w:ilvl w:val="1"/>
          <w:numId w:val="1"/>
        </w:numPr>
        <w:rPr>
          <w:b w:val="0"/>
        </w:rPr>
      </w:pPr>
      <w:bookmarkStart w:id="12" w:name="_Ref6923160"/>
      <w:r w:rsidRPr="003B06A2">
        <w:rPr>
          <w:b w:val="0"/>
        </w:rPr>
        <w:t>Evidence of research independence</w:t>
      </w:r>
      <w:r w:rsidR="00BF55BA">
        <w:rPr>
          <w:b w:val="0"/>
        </w:rPr>
        <w:t xml:space="preserve"> (</w:t>
      </w:r>
      <w:r w:rsidR="0039684B">
        <w:rPr>
          <w:b w:val="0"/>
        </w:rPr>
        <w:t>for staff employed on ‘research only’ contracts</w:t>
      </w:r>
      <w:r w:rsidR="00BF55BA">
        <w:rPr>
          <w:b w:val="0"/>
        </w:rPr>
        <w:t>)</w:t>
      </w:r>
      <w:r w:rsidR="006F2413">
        <w:rPr>
          <w:b w:val="0"/>
        </w:rPr>
        <w:t xml:space="preserve">, in accordance with the HEI’s processes for determining independence as set out in its </w:t>
      </w:r>
      <w:r w:rsidR="009829C3">
        <w:rPr>
          <w:b w:val="0"/>
        </w:rPr>
        <w:t>c</w:t>
      </w:r>
      <w:r w:rsidR="00E22DF7">
        <w:rPr>
          <w:b w:val="0"/>
        </w:rPr>
        <w:t>ode of practice</w:t>
      </w:r>
      <w:r>
        <w:rPr>
          <w:b w:val="0"/>
        </w:rPr>
        <w:t>.</w:t>
      </w:r>
      <w:r w:rsidR="004735DB">
        <w:rPr>
          <w:b w:val="0"/>
        </w:rPr>
        <w:t xml:space="preserve"> </w:t>
      </w:r>
      <w:r w:rsidR="00C55F11">
        <w:rPr>
          <w:b w:val="0"/>
        </w:rPr>
        <w:t>This could include</w:t>
      </w:r>
      <w:r w:rsidR="006248B5">
        <w:rPr>
          <w:b w:val="0"/>
        </w:rPr>
        <w:t>, for example,</w:t>
      </w:r>
      <w:r w:rsidR="00C55F11">
        <w:rPr>
          <w:b w:val="0"/>
        </w:rPr>
        <w:t xml:space="preserve"> </w:t>
      </w:r>
      <w:r w:rsidR="00B03C3D">
        <w:rPr>
          <w:b w:val="0"/>
        </w:rPr>
        <w:t xml:space="preserve">evidence that the researcher was leading an </w:t>
      </w:r>
      <w:proofErr w:type="gramStart"/>
      <w:r w:rsidR="00B03C3D">
        <w:rPr>
          <w:b w:val="0"/>
        </w:rPr>
        <w:t>externally-funded</w:t>
      </w:r>
      <w:proofErr w:type="gramEnd"/>
      <w:r w:rsidR="00B03C3D">
        <w:rPr>
          <w:b w:val="0"/>
        </w:rPr>
        <w:t xml:space="preserve"> research project, or </w:t>
      </w:r>
      <w:r w:rsidR="006248B5">
        <w:rPr>
          <w:b w:val="0"/>
        </w:rPr>
        <w:t>was leading a research group.</w:t>
      </w:r>
      <w:r w:rsidR="004735DB">
        <w:rPr>
          <w:b w:val="0"/>
        </w:rPr>
        <w:t xml:space="preserve"> </w:t>
      </w:r>
      <w:r w:rsidR="00C45141">
        <w:rPr>
          <w:b w:val="0"/>
        </w:rPr>
        <w:t xml:space="preserve">Refer to paragraph 132 of the </w:t>
      </w:r>
      <w:r w:rsidR="00EC7D24">
        <w:rPr>
          <w:b w:val="0"/>
        </w:rPr>
        <w:t>‘</w:t>
      </w:r>
      <w:r w:rsidR="00C45141" w:rsidRPr="001827BF">
        <w:rPr>
          <w:b w:val="0"/>
          <w:iCs/>
        </w:rPr>
        <w:t xml:space="preserve">Guidance on </w:t>
      </w:r>
      <w:r w:rsidR="00EC7D24">
        <w:rPr>
          <w:b w:val="0"/>
          <w:iCs/>
        </w:rPr>
        <w:t>s</w:t>
      </w:r>
      <w:r w:rsidR="00EC7D24" w:rsidRPr="001827BF">
        <w:rPr>
          <w:b w:val="0"/>
          <w:iCs/>
        </w:rPr>
        <w:t>ubmissions</w:t>
      </w:r>
      <w:r w:rsidR="00EC7D24">
        <w:rPr>
          <w:b w:val="0"/>
          <w:iCs/>
        </w:rPr>
        <w:t>’</w:t>
      </w:r>
      <w:r w:rsidR="00585B57">
        <w:rPr>
          <w:b w:val="0"/>
        </w:rPr>
        <w:t>, and</w:t>
      </w:r>
      <w:r w:rsidR="00F07509">
        <w:rPr>
          <w:b w:val="0"/>
        </w:rPr>
        <w:t xml:space="preserve"> paragraph </w:t>
      </w:r>
      <w:r w:rsidR="002323E1">
        <w:rPr>
          <w:b w:val="0"/>
        </w:rPr>
        <w:t xml:space="preserve">188 of the </w:t>
      </w:r>
      <w:r w:rsidR="0036662E">
        <w:rPr>
          <w:b w:val="0"/>
        </w:rPr>
        <w:t>‘</w:t>
      </w:r>
      <w:r w:rsidR="002323E1" w:rsidRPr="001827BF">
        <w:rPr>
          <w:b w:val="0"/>
          <w:iCs/>
        </w:rPr>
        <w:t xml:space="preserve">Panel </w:t>
      </w:r>
      <w:r w:rsidR="0036662E">
        <w:rPr>
          <w:b w:val="0"/>
          <w:iCs/>
        </w:rPr>
        <w:t>c</w:t>
      </w:r>
      <w:r w:rsidR="002323E1" w:rsidRPr="001827BF">
        <w:rPr>
          <w:b w:val="0"/>
          <w:iCs/>
        </w:rPr>
        <w:t xml:space="preserve">riteria and </w:t>
      </w:r>
      <w:r w:rsidR="0036662E">
        <w:rPr>
          <w:b w:val="0"/>
          <w:iCs/>
        </w:rPr>
        <w:t>w</w:t>
      </w:r>
      <w:r w:rsidR="002323E1" w:rsidRPr="001827BF">
        <w:rPr>
          <w:b w:val="0"/>
          <w:iCs/>
        </w:rPr>
        <w:t xml:space="preserve">orking </w:t>
      </w:r>
      <w:r w:rsidR="0036662E">
        <w:rPr>
          <w:b w:val="0"/>
          <w:iCs/>
        </w:rPr>
        <w:t>m</w:t>
      </w:r>
      <w:r w:rsidR="002323E1" w:rsidRPr="001827BF">
        <w:rPr>
          <w:b w:val="0"/>
          <w:iCs/>
        </w:rPr>
        <w:t>ethods</w:t>
      </w:r>
      <w:r w:rsidR="0036662E">
        <w:rPr>
          <w:b w:val="0"/>
          <w:iCs/>
        </w:rPr>
        <w:t>’</w:t>
      </w:r>
      <w:r w:rsidR="00914EE7">
        <w:rPr>
          <w:b w:val="0"/>
          <w:iCs/>
        </w:rPr>
        <w:t>,</w:t>
      </w:r>
      <w:r w:rsidR="00585B57" w:rsidRPr="00585B57">
        <w:rPr>
          <w:b w:val="0"/>
        </w:rPr>
        <w:t xml:space="preserve"> </w:t>
      </w:r>
      <w:r w:rsidR="00585B57">
        <w:rPr>
          <w:b w:val="0"/>
        </w:rPr>
        <w:t>for further details</w:t>
      </w:r>
      <w:r w:rsidR="00C45141">
        <w:rPr>
          <w:b w:val="0"/>
        </w:rPr>
        <w:t>.</w:t>
      </w:r>
      <w:r w:rsidR="006B26A9">
        <w:rPr>
          <w:b w:val="0"/>
        </w:rPr>
        <w:t xml:space="preserve"> In addition, for </w:t>
      </w:r>
      <w:r w:rsidR="00BF4C91">
        <w:rPr>
          <w:b w:val="0"/>
        </w:rPr>
        <w:t xml:space="preserve">staff being submitted </w:t>
      </w:r>
      <w:r w:rsidR="006F2413">
        <w:rPr>
          <w:b w:val="0"/>
        </w:rPr>
        <w:t>in</w:t>
      </w:r>
      <w:r w:rsidR="00382286">
        <w:rPr>
          <w:b w:val="0"/>
        </w:rPr>
        <w:t xml:space="preserve"> UOAs in </w:t>
      </w:r>
      <w:r w:rsidR="006F2413">
        <w:rPr>
          <w:b w:val="0"/>
        </w:rPr>
        <w:t>M</w:t>
      </w:r>
      <w:r w:rsidR="00382286">
        <w:rPr>
          <w:b w:val="0"/>
        </w:rPr>
        <w:t xml:space="preserve">ain </w:t>
      </w:r>
      <w:r w:rsidR="006F2413">
        <w:rPr>
          <w:b w:val="0"/>
        </w:rPr>
        <w:t>P</w:t>
      </w:r>
      <w:r w:rsidR="00382286">
        <w:rPr>
          <w:b w:val="0"/>
        </w:rPr>
        <w:t xml:space="preserve">anels C or D, see </w:t>
      </w:r>
      <w:r w:rsidR="002323E1">
        <w:rPr>
          <w:b w:val="0"/>
        </w:rPr>
        <w:t xml:space="preserve">paragraph 189 of the </w:t>
      </w:r>
      <w:r w:rsidR="00055E35">
        <w:rPr>
          <w:b w:val="0"/>
        </w:rPr>
        <w:t>‘</w:t>
      </w:r>
      <w:r w:rsidR="002323E1" w:rsidRPr="001827BF">
        <w:rPr>
          <w:b w:val="0"/>
          <w:iCs/>
        </w:rPr>
        <w:t xml:space="preserve">Panel </w:t>
      </w:r>
      <w:r w:rsidR="00055E35">
        <w:rPr>
          <w:b w:val="0"/>
          <w:iCs/>
        </w:rPr>
        <w:t>c</w:t>
      </w:r>
      <w:r w:rsidR="002323E1" w:rsidRPr="001827BF">
        <w:rPr>
          <w:b w:val="0"/>
          <w:iCs/>
        </w:rPr>
        <w:t xml:space="preserve">riteria and </w:t>
      </w:r>
      <w:r w:rsidR="00055E35">
        <w:rPr>
          <w:b w:val="0"/>
          <w:iCs/>
        </w:rPr>
        <w:t>w</w:t>
      </w:r>
      <w:r w:rsidR="002323E1" w:rsidRPr="001827BF">
        <w:rPr>
          <w:b w:val="0"/>
          <w:iCs/>
        </w:rPr>
        <w:t xml:space="preserve">orking </w:t>
      </w:r>
      <w:proofErr w:type="gramStart"/>
      <w:r w:rsidR="00055E35">
        <w:rPr>
          <w:b w:val="0"/>
          <w:iCs/>
        </w:rPr>
        <w:t>m</w:t>
      </w:r>
      <w:r w:rsidR="002323E1" w:rsidRPr="001827BF">
        <w:rPr>
          <w:b w:val="0"/>
          <w:iCs/>
        </w:rPr>
        <w:t>ethods</w:t>
      </w:r>
      <w:r w:rsidR="00055E35">
        <w:rPr>
          <w:b w:val="0"/>
          <w:iCs/>
        </w:rPr>
        <w:t>’</w:t>
      </w:r>
      <w:proofErr w:type="gramEnd"/>
      <w:r w:rsidR="002323E1">
        <w:rPr>
          <w:b w:val="0"/>
        </w:rPr>
        <w:t>.</w:t>
      </w:r>
      <w:bookmarkEnd w:id="12"/>
      <w:r w:rsidR="00D540BB">
        <w:rPr>
          <w:b w:val="0"/>
        </w:rPr>
        <w:t xml:space="preserve"> Where</w:t>
      </w:r>
      <w:r w:rsidR="002A3BEF">
        <w:rPr>
          <w:b w:val="0"/>
        </w:rPr>
        <w:t xml:space="preserve"> </w:t>
      </w:r>
      <w:r w:rsidR="002A3BEF" w:rsidRPr="002A3BEF">
        <w:rPr>
          <w:b w:val="0"/>
        </w:rPr>
        <w:t xml:space="preserve">audit of </w:t>
      </w:r>
      <w:r w:rsidR="00427F12">
        <w:rPr>
          <w:b w:val="0"/>
        </w:rPr>
        <w:t>research</w:t>
      </w:r>
      <w:r w:rsidR="002A3BEF" w:rsidRPr="002A3BEF">
        <w:rPr>
          <w:b w:val="0"/>
        </w:rPr>
        <w:t xml:space="preserve"> ind</w:t>
      </w:r>
      <w:r w:rsidR="00427F12">
        <w:rPr>
          <w:b w:val="0"/>
        </w:rPr>
        <w:t>e</w:t>
      </w:r>
      <w:r w:rsidR="002A3BEF" w:rsidRPr="002A3BEF">
        <w:rPr>
          <w:b w:val="0"/>
        </w:rPr>
        <w:t>p</w:t>
      </w:r>
      <w:r w:rsidR="00427F12">
        <w:rPr>
          <w:b w:val="0"/>
        </w:rPr>
        <w:t>endence</w:t>
      </w:r>
      <w:r w:rsidR="002A3BEF" w:rsidRPr="002A3BEF">
        <w:rPr>
          <w:b w:val="0"/>
        </w:rPr>
        <w:t xml:space="preserve"> shows evidence of persistent or serious discrepancies in </w:t>
      </w:r>
      <w:r w:rsidR="00427F12">
        <w:rPr>
          <w:b w:val="0"/>
        </w:rPr>
        <w:t xml:space="preserve">the </w:t>
      </w:r>
      <w:r w:rsidR="002A3BEF" w:rsidRPr="002A3BEF">
        <w:rPr>
          <w:b w:val="0"/>
        </w:rPr>
        <w:t xml:space="preserve">application of </w:t>
      </w:r>
      <w:r w:rsidR="00427F12">
        <w:rPr>
          <w:b w:val="0"/>
        </w:rPr>
        <w:t xml:space="preserve">an HEI’s </w:t>
      </w:r>
      <w:r w:rsidR="009829C3">
        <w:rPr>
          <w:b w:val="0"/>
        </w:rPr>
        <w:t>c</w:t>
      </w:r>
      <w:r w:rsidR="00427F12">
        <w:rPr>
          <w:b w:val="0"/>
        </w:rPr>
        <w:t>ode of p</w:t>
      </w:r>
      <w:r w:rsidR="00AE2C7F">
        <w:rPr>
          <w:b w:val="0"/>
        </w:rPr>
        <w:t>ractice</w:t>
      </w:r>
      <w:r w:rsidR="002A3BEF" w:rsidRPr="002A3BEF">
        <w:rPr>
          <w:b w:val="0"/>
        </w:rPr>
        <w:t xml:space="preserve"> process, we may refer </w:t>
      </w:r>
      <w:r w:rsidR="00AE2C7F">
        <w:rPr>
          <w:b w:val="0"/>
        </w:rPr>
        <w:t xml:space="preserve">the matter to </w:t>
      </w:r>
      <w:r w:rsidR="002A3BEF" w:rsidRPr="002A3BEF">
        <w:rPr>
          <w:b w:val="0"/>
        </w:rPr>
        <w:t xml:space="preserve">the </w:t>
      </w:r>
      <w:r w:rsidR="00AE2C7F">
        <w:rPr>
          <w:b w:val="0"/>
        </w:rPr>
        <w:t xml:space="preserve">relevant </w:t>
      </w:r>
      <w:r w:rsidR="008421AA">
        <w:rPr>
          <w:b w:val="0"/>
        </w:rPr>
        <w:t>funding body</w:t>
      </w:r>
      <w:r w:rsidR="002A3BEF" w:rsidRPr="002A3BEF">
        <w:rPr>
          <w:b w:val="0"/>
        </w:rPr>
        <w:t xml:space="preserve"> for a </w:t>
      </w:r>
      <w:r w:rsidR="009829C3">
        <w:rPr>
          <w:b w:val="0"/>
        </w:rPr>
        <w:t>c</w:t>
      </w:r>
      <w:r w:rsidR="008421AA">
        <w:rPr>
          <w:b w:val="0"/>
        </w:rPr>
        <w:t>ode of practice</w:t>
      </w:r>
      <w:r w:rsidR="002A3BEF" w:rsidRPr="002A3BEF">
        <w:rPr>
          <w:b w:val="0"/>
        </w:rPr>
        <w:t xml:space="preserve"> investigation (</w:t>
      </w:r>
      <w:r w:rsidR="008421AA">
        <w:rPr>
          <w:b w:val="0"/>
        </w:rPr>
        <w:t>see</w:t>
      </w:r>
      <w:r w:rsidR="002A3BEF" w:rsidRPr="002A3BEF">
        <w:rPr>
          <w:b w:val="0"/>
        </w:rPr>
        <w:t xml:space="preserve"> para</w:t>
      </w:r>
      <w:r w:rsidR="008421AA">
        <w:rPr>
          <w:b w:val="0"/>
        </w:rPr>
        <w:t xml:space="preserve">graph </w:t>
      </w:r>
      <w:r w:rsidR="00FA25A7">
        <w:rPr>
          <w:b w:val="0"/>
          <w:highlight w:val="yellow"/>
        </w:rPr>
        <w:fldChar w:fldCharType="begin"/>
      </w:r>
      <w:r w:rsidR="00FA25A7">
        <w:rPr>
          <w:b w:val="0"/>
        </w:rPr>
        <w:instrText xml:space="preserve"> REF _Ref10557993 \r \h </w:instrText>
      </w:r>
      <w:r w:rsidR="00FA25A7">
        <w:rPr>
          <w:b w:val="0"/>
          <w:highlight w:val="yellow"/>
        </w:rPr>
      </w:r>
      <w:r w:rsidR="00FA25A7">
        <w:rPr>
          <w:b w:val="0"/>
          <w:highlight w:val="yellow"/>
        </w:rPr>
        <w:fldChar w:fldCharType="separate"/>
      </w:r>
      <w:r w:rsidR="00FE72ED">
        <w:rPr>
          <w:b w:val="0"/>
        </w:rPr>
        <w:t>37</w:t>
      </w:r>
      <w:r w:rsidR="00FA25A7">
        <w:rPr>
          <w:b w:val="0"/>
          <w:highlight w:val="yellow"/>
        </w:rPr>
        <w:fldChar w:fldCharType="end"/>
      </w:r>
      <w:r w:rsidR="002A3BEF" w:rsidRPr="002A3BEF">
        <w:rPr>
          <w:b w:val="0"/>
        </w:rPr>
        <w:t xml:space="preserve"> belo</w:t>
      </w:r>
      <w:r w:rsidR="008421AA">
        <w:rPr>
          <w:b w:val="0"/>
        </w:rPr>
        <w:t>w</w:t>
      </w:r>
      <w:r w:rsidR="002A3BEF" w:rsidRPr="002A3BEF">
        <w:rPr>
          <w:b w:val="0"/>
        </w:rPr>
        <w:t>)</w:t>
      </w:r>
      <w:r w:rsidR="008421AA">
        <w:rPr>
          <w:b w:val="0"/>
        </w:rPr>
        <w:t>.</w:t>
      </w:r>
    </w:p>
    <w:p w14:paraId="53BB9121" w14:textId="77777777" w:rsidR="001E0AB7" w:rsidRPr="001E0AB7" w:rsidRDefault="001E0AB7" w:rsidP="00427A08">
      <w:pPr>
        <w:pStyle w:val="ListParagraph"/>
        <w:rPr>
          <w:b w:val="0"/>
        </w:rPr>
      </w:pPr>
    </w:p>
    <w:p w14:paraId="5DBB7D8C" w14:textId="0299285A" w:rsidR="001E0AB7" w:rsidRDefault="00134C5A" w:rsidP="00496C59">
      <w:pPr>
        <w:pStyle w:val="ListParagraph"/>
        <w:numPr>
          <w:ilvl w:val="1"/>
          <w:numId w:val="1"/>
        </w:numPr>
        <w:rPr>
          <w:b w:val="0"/>
        </w:rPr>
      </w:pPr>
      <w:r>
        <w:rPr>
          <w:b w:val="0"/>
        </w:rPr>
        <w:t xml:space="preserve"> </w:t>
      </w:r>
      <w:r w:rsidR="00D54466">
        <w:rPr>
          <w:b w:val="0"/>
        </w:rPr>
        <w:t>F</w:t>
      </w:r>
      <w:r>
        <w:rPr>
          <w:b w:val="0"/>
        </w:rPr>
        <w:t>or staff on</w:t>
      </w:r>
      <w:r w:rsidR="00D54466">
        <w:rPr>
          <w:b w:val="0"/>
        </w:rPr>
        <w:t xml:space="preserve"> the minimum</w:t>
      </w:r>
      <w:r>
        <w:rPr>
          <w:b w:val="0"/>
        </w:rPr>
        <w:t xml:space="preserve"> fractional contracts</w:t>
      </w:r>
      <w:r w:rsidR="00D54466">
        <w:rPr>
          <w:b w:val="0"/>
        </w:rPr>
        <w:t xml:space="preserve"> (0.20 to 0.29), evidence that verifies the statement regarding substantive connection, or the cited circumstances in lieu of providing a statement. See below, paragraph </w:t>
      </w:r>
      <w:r w:rsidR="00BD4D53">
        <w:rPr>
          <w:b w:val="0"/>
        </w:rPr>
        <w:fldChar w:fldCharType="begin"/>
      </w:r>
      <w:r w:rsidR="00BD4D53">
        <w:rPr>
          <w:b w:val="0"/>
        </w:rPr>
        <w:instrText xml:space="preserve"> REF _Ref10558092 \r \h </w:instrText>
      </w:r>
      <w:r w:rsidR="00BD4D53">
        <w:rPr>
          <w:b w:val="0"/>
        </w:rPr>
      </w:r>
      <w:r w:rsidR="00BD4D53">
        <w:rPr>
          <w:b w:val="0"/>
        </w:rPr>
        <w:fldChar w:fldCharType="separate"/>
      </w:r>
      <w:r w:rsidR="00FE72ED">
        <w:rPr>
          <w:b w:val="0"/>
        </w:rPr>
        <w:t>29</w:t>
      </w:r>
      <w:r w:rsidR="00BD4D53">
        <w:rPr>
          <w:b w:val="0"/>
        </w:rPr>
        <w:fldChar w:fldCharType="end"/>
      </w:r>
      <w:r w:rsidR="00D54466">
        <w:rPr>
          <w:b w:val="0"/>
        </w:rPr>
        <w:t>, and ‘Guidance on submissions’, paragraphs 123 to 127.</w:t>
      </w:r>
    </w:p>
    <w:p w14:paraId="7CCC4689" w14:textId="77777777" w:rsidR="00496C59" w:rsidRPr="00BA7DD2" w:rsidRDefault="00496C59" w:rsidP="00496C59"/>
    <w:p w14:paraId="43BAFE70" w14:textId="77777777" w:rsidR="00496C59" w:rsidRDefault="00496C59" w:rsidP="00496C59">
      <w:pPr>
        <w:pStyle w:val="ListParagraph"/>
        <w:numPr>
          <w:ilvl w:val="0"/>
          <w:numId w:val="1"/>
        </w:numPr>
        <w:rPr>
          <w:b w:val="0"/>
        </w:rPr>
      </w:pPr>
      <w:r>
        <w:rPr>
          <w:b w:val="0"/>
        </w:rPr>
        <w:t>For REF1a, evidence will be sought with reference to the census date. For REF1b, evidence will be sought with reference to the declared contract start and end dates.</w:t>
      </w:r>
    </w:p>
    <w:p w14:paraId="77BFF483" w14:textId="77777777" w:rsidR="00496C59" w:rsidRDefault="00496C59" w:rsidP="00496C59">
      <w:pPr>
        <w:pStyle w:val="ListParagraph"/>
        <w:ind w:left="0"/>
        <w:rPr>
          <w:b w:val="0"/>
        </w:rPr>
      </w:pPr>
    </w:p>
    <w:p w14:paraId="1A144006" w14:textId="3B3EB548" w:rsidR="00BA17D7" w:rsidRDefault="00BA17D7" w:rsidP="00BA17D7">
      <w:pPr>
        <w:pStyle w:val="ListParagraph"/>
        <w:numPr>
          <w:ilvl w:val="0"/>
          <w:numId w:val="1"/>
        </w:numPr>
        <w:rPr>
          <w:b w:val="0"/>
        </w:rPr>
      </w:pPr>
      <w:r>
        <w:rPr>
          <w:b w:val="0"/>
        </w:rPr>
        <w:t xml:space="preserve">Where </w:t>
      </w:r>
      <w:r w:rsidRPr="00805142">
        <w:rPr>
          <w:b w:val="0"/>
        </w:rPr>
        <w:t>academic staff are employed by the submitting HEI and based in a discrete department or unit outside the UK</w:t>
      </w:r>
      <w:r>
        <w:rPr>
          <w:b w:val="0"/>
        </w:rPr>
        <w:t xml:space="preserve">, we may seek to establish that </w:t>
      </w:r>
      <w:r w:rsidRPr="00805142">
        <w:rPr>
          <w:b w:val="0"/>
        </w:rPr>
        <w:t>the primary focus of their research activity on the census date is clearly and directly connected to the submitting unit based in the UK.</w:t>
      </w:r>
      <w:r w:rsidR="004735DB">
        <w:rPr>
          <w:b w:val="0"/>
        </w:rPr>
        <w:t xml:space="preserve"> </w:t>
      </w:r>
      <w:r>
        <w:rPr>
          <w:b w:val="0"/>
        </w:rPr>
        <w:t xml:space="preserve">See </w:t>
      </w:r>
      <w:r w:rsidR="007B50FD" w:rsidRPr="008303AF">
        <w:rPr>
          <w:b w:val="0"/>
        </w:rPr>
        <w:t>paragrap</w:t>
      </w:r>
      <w:r w:rsidR="007B50FD">
        <w:rPr>
          <w:b w:val="0"/>
        </w:rPr>
        <w:t>hs 121-125</w:t>
      </w:r>
      <w:r w:rsidR="00213C91">
        <w:rPr>
          <w:b w:val="0"/>
        </w:rPr>
        <w:t xml:space="preserve"> of the</w:t>
      </w:r>
      <w:r w:rsidR="007B50FD">
        <w:rPr>
          <w:b w:val="0"/>
        </w:rPr>
        <w:t xml:space="preserve"> </w:t>
      </w:r>
      <w:r w:rsidR="00EC7D24">
        <w:rPr>
          <w:b w:val="0"/>
        </w:rPr>
        <w:t>‘</w:t>
      </w:r>
      <w:r w:rsidRPr="001827BF">
        <w:rPr>
          <w:b w:val="0"/>
        </w:rPr>
        <w:t xml:space="preserve">Guidance on </w:t>
      </w:r>
      <w:r w:rsidR="00EC7D24">
        <w:rPr>
          <w:b w:val="0"/>
        </w:rPr>
        <w:t>s</w:t>
      </w:r>
      <w:r w:rsidRPr="001827BF">
        <w:rPr>
          <w:b w:val="0"/>
        </w:rPr>
        <w:t>ubmissions</w:t>
      </w:r>
      <w:r w:rsidR="00EC7D24">
        <w:rPr>
          <w:b w:val="0"/>
        </w:rPr>
        <w:t>’</w:t>
      </w:r>
      <w:r w:rsidRPr="008303AF">
        <w:rPr>
          <w:b w:val="0"/>
        </w:rPr>
        <w:t xml:space="preserve"> </w:t>
      </w:r>
      <w:r>
        <w:rPr>
          <w:b w:val="0"/>
        </w:rPr>
        <w:t xml:space="preserve">for more information about eligibility and substantive connection of </w:t>
      </w:r>
      <w:r w:rsidRPr="008D5087">
        <w:rPr>
          <w:b w:val="0"/>
        </w:rPr>
        <w:t>academic staff employed by the submitting HEI</w:t>
      </w:r>
      <w:r>
        <w:rPr>
          <w:b w:val="0"/>
        </w:rPr>
        <w:t xml:space="preserve"> outside the UK.</w:t>
      </w:r>
    </w:p>
    <w:p w14:paraId="15E8F887" w14:textId="77777777" w:rsidR="00BA17D7" w:rsidRDefault="00BA17D7" w:rsidP="00BA17D7"/>
    <w:p w14:paraId="25931E6C" w14:textId="77777777" w:rsidR="00BA17D7" w:rsidRPr="008D5087" w:rsidRDefault="00BA17D7" w:rsidP="00BA17D7">
      <w:pPr>
        <w:pStyle w:val="ListParagraph"/>
        <w:numPr>
          <w:ilvl w:val="0"/>
          <w:numId w:val="1"/>
        </w:numPr>
        <w:rPr>
          <w:b w:val="0"/>
        </w:rPr>
      </w:pPr>
      <w:bookmarkStart w:id="13" w:name="_Ref10558092"/>
      <w:r>
        <w:rPr>
          <w:b w:val="0"/>
        </w:rPr>
        <w:t xml:space="preserve">Where staff FTE is between 0.20 and 0.29, and a </w:t>
      </w:r>
      <w:r w:rsidRPr="002A0C75">
        <w:rPr>
          <w:b w:val="0"/>
        </w:rPr>
        <w:t>statement evidencing a substantive connection</w:t>
      </w:r>
      <w:r>
        <w:rPr>
          <w:b w:val="0"/>
        </w:rPr>
        <w:t xml:space="preserve"> has not been provided due to a declaration of </w:t>
      </w:r>
      <w:r w:rsidRPr="004C0C64">
        <w:rPr>
          <w:b w:val="0"/>
        </w:rPr>
        <w:t>personal and discipline</w:t>
      </w:r>
      <w:r>
        <w:rPr>
          <w:b w:val="0"/>
        </w:rPr>
        <w:t xml:space="preserve"> </w:t>
      </w:r>
      <w:r w:rsidRPr="004C0C64">
        <w:rPr>
          <w:b w:val="0"/>
        </w:rPr>
        <w:t>related circumstances</w:t>
      </w:r>
      <w:r>
        <w:rPr>
          <w:b w:val="0"/>
        </w:rPr>
        <w:t>, evidence of the circumstances may be sought.</w:t>
      </w:r>
      <w:r w:rsidR="004735DB">
        <w:rPr>
          <w:b w:val="0"/>
        </w:rPr>
        <w:t xml:space="preserve"> </w:t>
      </w:r>
      <w:r>
        <w:rPr>
          <w:b w:val="0"/>
        </w:rPr>
        <w:t>Such evidence can include, but is not limited to:</w:t>
      </w:r>
      <w:bookmarkEnd w:id="13"/>
    </w:p>
    <w:p w14:paraId="1802E4BC" w14:textId="77777777" w:rsidR="00BA17D7" w:rsidRDefault="00BA17D7" w:rsidP="00BA17D7"/>
    <w:p w14:paraId="420DCF6C" w14:textId="4F6B2139" w:rsidR="00BA17D7" w:rsidRDefault="003B5992" w:rsidP="00BA17D7">
      <w:pPr>
        <w:pStyle w:val="ListParagraph"/>
        <w:numPr>
          <w:ilvl w:val="1"/>
          <w:numId w:val="1"/>
        </w:numPr>
        <w:rPr>
          <w:b w:val="0"/>
        </w:rPr>
      </w:pPr>
      <w:r>
        <w:rPr>
          <w:b w:val="0"/>
        </w:rPr>
        <w:t>E</w:t>
      </w:r>
      <w:r w:rsidR="00BA17D7" w:rsidRPr="006D4B8E">
        <w:rPr>
          <w:b w:val="0"/>
        </w:rPr>
        <w:t xml:space="preserve">vidence of </w:t>
      </w:r>
      <w:r w:rsidR="00BA17D7">
        <w:rPr>
          <w:b w:val="0"/>
        </w:rPr>
        <w:t xml:space="preserve">caring responsibilities </w:t>
      </w:r>
      <w:r w:rsidR="00261855">
        <w:rPr>
          <w:b w:val="0"/>
        </w:rPr>
        <w:t>–</w:t>
      </w:r>
      <w:r w:rsidR="00BA17D7">
        <w:rPr>
          <w:b w:val="0"/>
        </w:rPr>
        <w:t xml:space="preserve"> </w:t>
      </w:r>
      <w:r w:rsidR="00BA17D7" w:rsidRPr="0017383B">
        <w:rPr>
          <w:b w:val="0"/>
        </w:rPr>
        <w:t xml:space="preserve">a self-declaration by the staff member to the submitting </w:t>
      </w:r>
      <w:r w:rsidR="00BA17D7" w:rsidRPr="00582803">
        <w:rPr>
          <w:b w:val="0"/>
        </w:rPr>
        <w:t>HEI</w:t>
      </w:r>
      <w:r w:rsidR="00BA17D7" w:rsidRPr="0017383B">
        <w:rPr>
          <w:b w:val="0"/>
        </w:rPr>
        <w:t xml:space="preserve"> will be </w:t>
      </w:r>
      <w:proofErr w:type="gramStart"/>
      <w:r w:rsidR="00BA17D7" w:rsidRPr="0017383B">
        <w:rPr>
          <w:b w:val="0"/>
        </w:rPr>
        <w:t>sufficient</w:t>
      </w:r>
      <w:proofErr w:type="gramEnd"/>
      <w:r w:rsidR="00BA17D7" w:rsidRPr="0017383B">
        <w:rPr>
          <w:b w:val="0"/>
        </w:rPr>
        <w:t xml:space="preserve"> evidence</w:t>
      </w:r>
      <w:r w:rsidR="00BA17D7">
        <w:rPr>
          <w:b w:val="0"/>
        </w:rPr>
        <w:t>.</w:t>
      </w:r>
    </w:p>
    <w:p w14:paraId="26DB34E2" w14:textId="77777777" w:rsidR="00BA17D7" w:rsidRDefault="00BA17D7" w:rsidP="00BA17D7">
      <w:pPr>
        <w:pStyle w:val="ListParagraph"/>
        <w:ind w:left="567"/>
        <w:rPr>
          <w:b w:val="0"/>
        </w:rPr>
      </w:pPr>
    </w:p>
    <w:p w14:paraId="428882FD" w14:textId="0B01CAA3" w:rsidR="00BA17D7" w:rsidRDefault="003B5992" w:rsidP="00BA17D7">
      <w:pPr>
        <w:pStyle w:val="ListParagraph"/>
        <w:numPr>
          <w:ilvl w:val="1"/>
          <w:numId w:val="1"/>
        </w:numPr>
        <w:rPr>
          <w:b w:val="0"/>
        </w:rPr>
      </w:pPr>
      <w:r>
        <w:rPr>
          <w:b w:val="0"/>
        </w:rPr>
        <w:t>E</w:t>
      </w:r>
      <w:r w:rsidR="00BA17D7" w:rsidRPr="00AA7201">
        <w:rPr>
          <w:b w:val="0"/>
        </w:rPr>
        <w:t xml:space="preserve">vidence of </w:t>
      </w:r>
      <w:r w:rsidR="00BA17D7" w:rsidRPr="00086716">
        <w:rPr>
          <w:b w:val="0"/>
        </w:rPr>
        <w:t>other personal circumstances (</w:t>
      </w:r>
      <w:r>
        <w:rPr>
          <w:b w:val="0"/>
        </w:rPr>
        <w:t>such as</w:t>
      </w:r>
      <w:r w:rsidR="00BA17D7" w:rsidRPr="00086716">
        <w:rPr>
          <w:b w:val="0"/>
        </w:rPr>
        <w:t xml:space="preserve"> ill health</w:t>
      </w:r>
      <w:r>
        <w:rPr>
          <w:b w:val="0"/>
        </w:rPr>
        <w:t xml:space="preserve"> or</w:t>
      </w:r>
      <w:r w:rsidRPr="00086716">
        <w:rPr>
          <w:b w:val="0"/>
        </w:rPr>
        <w:t xml:space="preserve"> </w:t>
      </w:r>
      <w:r w:rsidR="00BA17D7" w:rsidRPr="00086716">
        <w:rPr>
          <w:b w:val="0"/>
        </w:rPr>
        <w:t>disability)</w:t>
      </w:r>
      <w:r w:rsidR="00BA17D7">
        <w:rPr>
          <w:b w:val="0"/>
        </w:rPr>
        <w:t xml:space="preserve"> </w:t>
      </w:r>
      <w:r w:rsidR="00261855">
        <w:rPr>
          <w:b w:val="0"/>
        </w:rPr>
        <w:t>–</w:t>
      </w:r>
      <w:r w:rsidR="00BA17D7">
        <w:rPr>
          <w:b w:val="0"/>
        </w:rPr>
        <w:t xml:space="preserve"> </w:t>
      </w:r>
      <w:r w:rsidR="00BA17D7" w:rsidRPr="0017383B">
        <w:rPr>
          <w:b w:val="0"/>
        </w:rPr>
        <w:t xml:space="preserve">a self-declaration by the staff member to the submitting </w:t>
      </w:r>
      <w:r w:rsidR="00BA17D7" w:rsidRPr="00582803">
        <w:rPr>
          <w:b w:val="0"/>
        </w:rPr>
        <w:t>HEI</w:t>
      </w:r>
      <w:r w:rsidR="00BA17D7" w:rsidRPr="0017383B">
        <w:rPr>
          <w:b w:val="0"/>
        </w:rPr>
        <w:t xml:space="preserve"> will be </w:t>
      </w:r>
      <w:proofErr w:type="gramStart"/>
      <w:r w:rsidR="00BA17D7" w:rsidRPr="0017383B">
        <w:rPr>
          <w:b w:val="0"/>
        </w:rPr>
        <w:t>sufficient</w:t>
      </w:r>
      <w:proofErr w:type="gramEnd"/>
      <w:r w:rsidR="00BA17D7" w:rsidRPr="0017383B">
        <w:rPr>
          <w:b w:val="0"/>
        </w:rPr>
        <w:t xml:space="preserve"> evidence</w:t>
      </w:r>
      <w:r w:rsidR="00BA17D7" w:rsidRPr="00BA7DD2">
        <w:rPr>
          <w:b w:val="0"/>
        </w:rPr>
        <w:t>.</w:t>
      </w:r>
    </w:p>
    <w:p w14:paraId="0A16094B" w14:textId="77777777" w:rsidR="00BA17D7" w:rsidRPr="00353C0B" w:rsidRDefault="00BA17D7" w:rsidP="00BA17D7">
      <w:pPr>
        <w:pStyle w:val="ListParagraph"/>
        <w:rPr>
          <w:b w:val="0"/>
        </w:rPr>
      </w:pPr>
    </w:p>
    <w:p w14:paraId="0A6F2C82" w14:textId="5EC78F47" w:rsidR="00BA17D7" w:rsidRPr="00805142" w:rsidRDefault="003B5992" w:rsidP="00BA17D7">
      <w:pPr>
        <w:pStyle w:val="ListParagraph"/>
        <w:numPr>
          <w:ilvl w:val="1"/>
          <w:numId w:val="1"/>
        </w:numPr>
        <w:rPr>
          <w:b w:val="0"/>
        </w:rPr>
      </w:pPr>
      <w:r>
        <w:rPr>
          <w:b w:val="0"/>
        </w:rPr>
        <w:t>E</w:t>
      </w:r>
      <w:r w:rsidR="00BA17D7" w:rsidRPr="00DE1C9A">
        <w:rPr>
          <w:b w:val="0"/>
        </w:rPr>
        <w:t xml:space="preserve">vidence </w:t>
      </w:r>
      <w:r w:rsidR="00BA17D7" w:rsidRPr="00B41693">
        <w:rPr>
          <w:b w:val="0"/>
        </w:rPr>
        <w:t>that th</w:t>
      </w:r>
      <w:r w:rsidR="00BA17D7" w:rsidRPr="00C96C10">
        <w:rPr>
          <w:b w:val="0"/>
        </w:rPr>
        <w:t>e staff member has reduced their working hours on the approach</w:t>
      </w:r>
      <w:r w:rsidR="00BA17D7" w:rsidRPr="001827BF">
        <w:rPr>
          <w:b w:val="0"/>
        </w:rPr>
        <w:t xml:space="preserve"> </w:t>
      </w:r>
      <w:r w:rsidR="00BA17D7" w:rsidRPr="00805142">
        <w:rPr>
          <w:b w:val="0"/>
        </w:rPr>
        <w:t>to retirement.</w:t>
      </w:r>
      <w:r w:rsidR="00BA17D7">
        <w:rPr>
          <w:b w:val="0"/>
        </w:rPr>
        <w:t xml:space="preserve"> This could include a contract variation or other correspondence from the HEI to the staff member indicating the change of working hours.</w:t>
      </w:r>
    </w:p>
    <w:p w14:paraId="660B3BC9" w14:textId="77777777" w:rsidR="00BA17D7" w:rsidRPr="00202274" w:rsidRDefault="00BA17D7" w:rsidP="00BA17D7">
      <w:pPr>
        <w:pStyle w:val="ListParagraph"/>
        <w:rPr>
          <w:b w:val="0"/>
        </w:rPr>
      </w:pPr>
    </w:p>
    <w:p w14:paraId="58016F93" w14:textId="613B547A" w:rsidR="00BA17D7" w:rsidRDefault="003B5992" w:rsidP="00BA17D7">
      <w:pPr>
        <w:pStyle w:val="ListParagraph"/>
        <w:numPr>
          <w:ilvl w:val="1"/>
          <w:numId w:val="1"/>
        </w:numPr>
        <w:rPr>
          <w:b w:val="0"/>
        </w:rPr>
      </w:pPr>
      <w:r>
        <w:rPr>
          <w:b w:val="0"/>
        </w:rPr>
        <w:t>E</w:t>
      </w:r>
      <w:r w:rsidR="00BA17D7">
        <w:rPr>
          <w:b w:val="0"/>
        </w:rPr>
        <w:t xml:space="preserve">vidence that </w:t>
      </w:r>
      <w:r w:rsidR="00BA17D7" w:rsidRPr="004714F0">
        <w:rPr>
          <w:b w:val="0"/>
        </w:rPr>
        <w:t>the fractional appointment reflects normal discipline practice (for example, where joint appointments with industry or practice are typical in the submitted unit).</w:t>
      </w:r>
      <w:r w:rsidR="004735DB">
        <w:rPr>
          <w:b w:val="0"/>
        </w:rPr>
        <w:t xml:space="preserve"> </w:t>
      </w:r>
      <w:r w:rsidR="00BA17D7">
        <w:rPr>
          <w:b w:val="0"/>
        </w:rPr>
        <w:t xml:space="preserve">It is assumed that HEIs are best placed to determine what evidence </w:t>
      </w:r>
      <w:r w:rsidR="00120D79">
        <w:rPr>
          <w:b w:val="0"/>
        </w:rPr>
        <w:t xml:space="preserve">would be most appropriate </w:t>
      </w:r>
      <w:r w:rsidR="00BA17D7">
        <w:rPr>
          <w:b w:val="0"/>
        </w:rPr>
        <w:t>in this circumstance</w:t>
      </w:r>
      <w:r w:rsidR="00BA17D7" w:rsidRPr="007D258F">
        <w:rPr>
          <w:b w:val="0"/>
        </w:rPr>
        <w:t>.</w:t>
      </w:r>
    </w:p>
    <w:p w14:paraId="4A224746" w14:textId="77777777" w:rsidR="00BA17D7" w:rsidRDefault="00BA17D7" w:rsidP="00CD0BBE">
      <w:pPr>
        <w:pStyle w:val="ListParagraph"/>
        <w:ind w:left="0"/>
        <w:rPr>
          <w:b w:val="0"/>
        </w:rPr>
      </w:pPr>
    </w:p>
    <w:p w14:paraId="37EBD4F5" w14:textId="5C6DAD3A" w:rsidR="0034474E" w:rsidRDefault="00B219EC" w:rsidP="00BA17D7">
      <w:pPr>
        <w:pStyle w:val="ListParagraph"/>
        <w:numPr>
          <w:ilvl w:val="0"/>
          <w:numId w:val="1"/>
        </w:numPr>
        <w:rPr>
          <w:b w:val="0"/>
        </w:rPr>
      </w:pPr>
      <w:r w:rsidRPr="00B219EC">
        <w:rPr>
          <w:b w:val="0"/>
        </w:rPr>
        <w:t xml:space="preserve">For Category A </w:t>
      </w:r>
      <w:r w:rsidR="00F730BE">
        <w:rPr>
          <w:b w:val="0"/>
        </w:rPr>
        <w:t>eligible</w:t>
      </w:r>
      <w:r w:rsidRPr="00B219EC">
        <w:rPr>
          <w:b w:val="0"/>
        </w:rPr>
        <w:t xml:space="preserve"> staff </w:t>
      </w:r>
      <w:r w:rsidR="00F730BE">
        <w:rPr>
          <w:b w:val="0"/>
        </w:rPr>
        <w:t xml:space="preserve">that </w:t>
      </w:r>
      <w:r w:rsidR="003E7D6F">
        <w:rPr>
          <w:b w:val="0"/>
        </w:rPr>
        <w:t>are</w:t>
      </w:r>
      <w:r w:rsidR="00F730BE">
        <w:rPr>
          <w:b w:val="0"/>
        </w:rPr>
        <w:t xml:space="preserve"> </w:t>
      </w:r>
      <w:r w:rsidRPr="00B219EC">
        <w:rPr>
          <w:b w:val="0"/>
        </w:rPr>
        <w:t>included in the select</w:t>
      </w:r>
      <w:r w:rsidR="00FB0985">
        <w:rPr>
          <w:b w:val="0"/>
        </w:rPr>
        <w:t>ed sample, but were not included</w:t>
      </w:r>
      <w:r w:rsidR="00671FCE">
        <w:rPr>
          <w:b w:val="0"/>
        </w:rPr>
        <w:t xml:space="preserve"> in the submission</w:t>
      </w:r>
      <w:r w:rsidRPr="00B219EC">
        <w:rPr>
          <w:b w:val="0"/>
        </w:rPr>
        <w:t>, we will ask each HEI to</w:t>
      </w:r>
      <w:r w:rsidR="00354927">
        <w:rPr>
          <w:b w:val="0"/>
        </w:rPr>
        <w:t xml:space="preserve"> provide</w:t>
      </w:r>
      <w:r w:rsidRPr="00B219EC">
        <w:rPr>
          <w:b w:val="0"/>
        </w:rPr>
        <w:t xml:space="preserve"> relevant extracts of contracts, payroll or personnel records, or associated job descriptions, indicating the status of staff on the census dat</w:t>
      </w:r>
      <w:r w:rsidR="00D54C40">
        <w:rPr>
          <w:b w:val="0"/>
        </w:rPr>
        <w:t>e.</w:t>
      </w:r>
      <w:r w:rsidR="00C252C1">
        <w:rPr>
          <w:b w:val="0"/>
        </w:rPr>
        <w:t xml:space="preserve"> The evidence provided should demonstrate that these staff</w:t>
      </w:r>
      <w:r w:rsidR="00B652EA">
        <w:rPr>
          <w:b w:val="0"/>
        </w:rPr>
        <w:t xml:space="preserve"> </w:t>
      </w:r>
      <w:r w:rsidR="00192FB3">
        <w:rPr>
          <w:b w:val="0"/>
        </w:rPr>
        <w:t xml:space="preserve">do not have </w:t>
      </w:r>
      <w:r w:rsidR="0011192F">
        <w:rPr>
          <w:b w:val="0"/>
        </w:rPr>
        <w:t xml:space="preserve">significant responsibility for research, in line with the processes set out in the </w:t>
      </w:r>
      <w:r w:rsidR="00B652EA">
        <w:rPr>
          <w:b w:val="0"/>
        </w:rPr>
        <w:t>HEI’s code of practice.</w:t>
      </w:r>
      <w:r w:rsidR="00330E62">
        <w:rPr>
          <w:b w:val="0"/>
        </w:rPr>
        <w:t xml:space="preserve">  </w:t>
      </w:r>
      <w:r w:rsidR="00330E62" w:rsidRPr="00330E62">
        <w:rPr>
          <w:b w:val="0"/>
        </w:rPr>
        <w:t xml:space="preserve">Where there is evidence of persistent or serious discrepancies in the application of an HEI’s code of practice process, we may refer the matter to the relevant funding body for a code of practice investigation (see paragraph </w:t>
      </w:r>
      <w:r w:rsidR="00FE20C4">
        <w:rPr>
          <w:b w:val="0"/>
        </w:rPr>
        <w:fldChar w:fldCharType="begin"/>
      </w:r>
      <w:r w:rsidR="00FE20C4">
        <w:rPr>
          <w:b w:val="0"/>
        </w:rPr>
        <w:instrText xml:space="preserve"> REF _Ref10557993 \r \h </w:instrText>
      </w:r>
      <w:r w:rsidR="00FE20C4">
        <w:rPr>
          <w:b w:val="0"/>
        </w:rPr>
      </w:r>
      <w:r w:rsidR="00FE20C4">
        <w:rPr>
          <w:b w:val="0"/>
        </w:rPr>
        <w:fldChar w:fldCharType="separate"/>
      </w:r>
      <w:r w:rsidR="00FE72ED">
        <w:rPr>
          <w:b w:val="0"/>
        </w:rPr>
        <w:t>37</w:t>
      </w:r>
      <w:r w:rsidR="00FE20C4">
        <w:rPr>
          <w:b w:val="0"/>
        </w:rPr>
        <w:fldChar w:fldCharType="end"/>
      </w:r>
      <w:r w:rsidR="00330E62" w:rsidRPr="00330E62">
        <w:rPr>
          <w:b w:val="0"/>
        </w:rPr>
        <w:t xml:space="preserve"> below)</w:t>
      </w:r>
      <w:r w:rsidR="00330E62">
        <w:rPr>
          <w:b w:val="0"/>
        </w:rPr>
        <w:t>.</w:t>
      </w:r>
    </w:p>
    <w:p w14:paraId="295064DA" w14:textId="77777777" w:rsidR="0034474E" w:rsidRDefault="0034474E" w:rsidP="004F47AB">
      <w:pPr>
        <w:pStyle w:val="ListParagraph"/>
        <w:ind w:left="0"/>
        <w:rPr>
          <w:b w:val="0"/>
        </w:rPr>
      </w:pPr>
    </w:p>
    <w:p w14:paraId="20151F59" w14:textId="4D9067D2" w:rsidR="00496C59" w:rsidRDefault="00496C59" w:rsidP="00BA17D7">
      <w:pPr>
        <w:pStyle w:val="ListParagraph"/>
        <w:numPr>
          <w:ilvl w:val="0"/>
          <w:numId w:val="1"/>
        </w:numPr>
        <w:rPr>
          <w:b w:val="0"/>
        </w:rPr>
      </w:pPr>
      <w:r w:rsidRPr="00BA7DD2">
        <w:rPr>
          <w:b w:val="0"/>
        </w:rPr>
        <w:t>A request for evidence relating to the staff sample will be sent to all HEIs in early December 20</w:t>
      </w:r>
      <w:r>
        <w:rPr>
          <w:b w:val="0"/>
        </w:rPr>
        <w:t>20</w:t>
      </w:r>
      <w:r w:rsidRPr="00BA7DD2">
        <w:rPr>
          <w:b w:val="0"/>
        </w:rPr>
        <w:t>. The deadline for responses will be in late January 20</w:t>
      </w:r>
      <w:r>
        <w:rPr>
          <w:b w:val="0"/>
        </w:rPr>
        <w:t>21</w:t>
      </w:r>
      <w:r w:rsidRPr="00BA7DD2">
        <w:rPr>
          <w:b w:val="0"/>
        </w:rPr>
        <w:t xml:space="preserve">. </w:t>
      </w:r>
      <w:r w:rsidR="005F02DB">
        <w:rPr>
          <w:b w:val="0"/>
        </w:rPr>
        <w:t>The</w:t>
      </w:r>
      <w:r>
        <w:rPr>
          <w:b w:val="0"/>
        </w:rPr>
        <w:t xml:space="preserve"> </w:t>
      </w:r>
      <w:r w:rsidR="005F02DB">
        <w:rPr>
          <w:b w:val="0"/>
        </w:rPr>
        <w:t>e</w:t>
      </w:r>
      <w:r w:rsidRPr="00BA7DD2">
        <w:rPr>
          <w:b w:val="0"/>
        </w:rPr>
        <w:t xml:space="preserve">vidence </w:t>
      </w:r>
      <w:r w:rsidR="005F02DB">
        <w:rPr>
          <w:b w:val="0"/>
        </w:rPr>
        <w:t>that</w:t>
      </w:r>
      <w:r w:rsidRPr="00BA7DD2">
        <w:rPr>
          <w:b w:val="0"/>
        </w:rPr>
        <w:t xml:space="preserve"> HEIs</w:t>
      </w:r>
      <w:r w:rsidR="005F02DB">
        <w:rPr>
          <w:b w:val="0"/>
        </w:rPr>
        <w:t xml:space="preserve"> provide</w:t>
      </w:r>
      <w:r w:rsidRPr="00BA7DD2">
        <w:rPr>
          <w:b w:val="0"/>
        </w:rPr>
        <w:t xml:space="preserve"> may subsequently be followed up if required. Such requests for further evidence will require a r</w:t>
      </w:r>
      <w:r>
        <w:rPr>
          <w:b w:val="0"/>
        </w:rPr>
        <w:t>esponse within 10 working days</w:t>
      </w:r>
      <w:r w:rsidRPr="00BA7DD2">
        <w:rPr>
          <w:b w:val="0"/>
        </w:rPr>
        <w:t>.</w:t>
      </w:r>
    </w:p>
    <w:p w14:paraId="656067C8" w14:textId="77777777" w:rsidR="000831DF" w:rsidRDefault="000831DF" w:rsidP="00F77366"/>
    <w:p w14:paraId="3E7A4450" w14:textId="6873D726" w:rsidR="00BA17D7" w:rsidRPr="001E0AB7" w:rsidRDefault="00BA17D7" w:rsidP="00BA17D7">
      <w:pPr>
        <w:pStyle w:val="ListParagraph"/>
        <w:numPr>
          <w:ilvl w:val="0"/>
          <w:numId w:val="1"/>
        </w:numPr>
        <w:rPr>
          <w:b w:val="0"/>
        </w:rPr>
      </w:pPr>
      <w:bookmarkStart w:id="14" w:name="_Ref10619648"/>
      <w:r>
        <w:rPr>
          <w:b w:val="0"/>
          <w:szCs w:val="20"/>
        </w:rPr>
        <w:t>A</w:t>
      </w:r>
      <w:r w:rsidRPr="00011C93">
        <w:rPr>
          <w:b w:val="0"/>
          <w:szCs w:val="20"/>
        </w:rPr>
        <w:t xml:space="preserve">fter </w:t>
      </w:r>
      <w:r>
        <w:rPr>
          <w:b w:val="0"/>
          <w:szCs w:val="20"/>
        </w:rPr>
        <w:t xml:space="preserve">undertaking the audit of the random staff </w:t>
      </w:r>
      <w:r w:rsidRPr="00011C93">
        <w:rPr>
          <w:b w:val="0"/>
          <w:szCs w:val="20"/>
        </w:rPr>
        <w:t>samp</w:t>
      </w:r>
      <w:r>
        <w:rPr>
          <w:b w:val="0"/>
          <w:szCs w:val="20"/>
        </w:rPr>
        <w:t>le</w:t>
      </w:r>
      <w:r w:rsidRPr="00011C93">
        <w:rPr>
          <w:b w:val="0"/>
          <w:szCs w:val="20"/>
        </w:rPr>
        <w:t xml:space="preserve">, </w:t>
      </w:r>
      <w:r>
        <w:rPr>
          <w:b w:val="0"/>
          <w:szCs w:val="20"/>
        </w:rPr>
        <w:t>we</w:t>
      </w:r>
      <w:r w:rsidRPr="00011C93">
        <w:rPr>
          <w:b w:val="0"/>
          <w:szCs w:val="20"/>
        </w:rPr>
        <w:t xml:space="preserve"> will match REF1a data with the HESA staff return for census date 31</w:t>
      </w:r>
      <w:r w:rsidR="000860D3">
        <w:rPr>
          <w:b w:val="0"/>
          <w:szCs w:val="20"/>
        </w:rPr>
        <w:t xml:space="preserve"> July </w:t>
      </w:r>
      <w:r w:rsidRPr="00011C93">
        <w:rPr>
          <w:b w:val="0"/>
          <w:szCs w:val="20"/>
        </w:rPr>
        <w:t>2020 (C19025).</w:t>
      </w:r>
      <w:r w:rsidR="004735DB">
        <w:rPr>
          <w:b w:val="0"/>
          <w:szCs w:val="20"/>
        </w:rPr>
        <w:t xml:space="preserve"> </w:t>
      </w:r>
      <w:r>
        <w:rPr>
          <w:b w:val="0"/>
          <w:szCs w:val="20"/>
        </w:rPr>
        <w:t>Where we identify</w:t>
      </w:r>
      <w:r w:rsidRPr="00011C93">
        <w:rPr>
          <w:b w:val="0"/>
          <w:szCs w:val="20"/>
        </w:rPr>
        <w:t xml:space="preserve"> discrepancies between the two datasets, </w:t>
      </w:r>
      <w:r>
        <w:rPr>
          <w:b w:val="0"/>
          <w:szCs w:val="20"/>
        </w:rPr>
        <w:t>and we consider the differences to be materially significant, we reserve the right to request an explanation of the differences from the submitting HEI.</w:t>
      </w:r>
      <w:r w:rsidR="004735DB">
        <w:rPr>
          <w:b w:val="0"/>
          <w:szCs w:val="20"/>
        </w:rPr>
        <w:t xml:space="preserve"> </w:t>
      </w:r>
      <w:r>
        <w:rPr>
          <w:b w:val="0"/>
          <w:szCs w:val="20"/>
        </w:rPr>
        <w:t>S</w:t>
      </w:r>
      <w:r w:rsidRPr="00011C93">
        <w:rPr>
          <w:b w:val="0"/>
          <w:szCs w:val="20"/>
        </w:rPr>
        <w:t xml:space="preserve">ubstantive evidence will be </w:t>
      </w:r>
      <w:r>
        <w:rPr>
          <w:b w:val="0"/>
          <w:szCs w:val="20"/>
        </w:rPr>
        <w:t>required to support the explanation</w:t>
      </w:r>
      <w:r w:rsidRPr="00011C93">
        <w:rPr>
          <w:b w:val="0"/>
          <w:szCs w:val="20"/>
        </w:rPr>
        <w:t>.</w:t>
      </w:r>
      <w:r w:rsidR="004735DB">
        <w:rPr>
          <w:b w:val="0"/>
          <w:szCs w:val="20"/>
        </w:rPr>
        <w:t xml:space="preserve"> </w:t>
      </w:r>
      <w:r w:rsidRPr="00860B27">
        <w:rPr>
          <w:b w:val="0"/>
          <w:szCs w:val="20"/>
        </w:rPr>
        <w:t xml:space="preserve">Such requests for </w:t>
      </w:r>
      <w:r>
        <w:rPr>
          <w:b w:val="0"/>
          <w:szCs w:val="20"/>
        </w:rPr>
        <w:t xml:space="preserve">explanation and </w:t>
      </w:r>
      <w:r w:rsidRPr="00860B27">
        <w:rPr>
          <w:b w:val="0"/>
          <w:szCs w:val="20"/>
        </w:rPr>
        <w:t>further evidence will require a response within 10 working days</w:t>
      </w:r>
      <w:r>
        <w:rPr>
          <w:b w:val="0"/>
          <w:szCs w:val="20"/>
        </w:rPr>
        <w:t>.</w:t>
      </w:r>
      <w:bookmarkEnd w:id="14"/>
    </w:p>
    <w:p w14:paraId="739B9709" w14:textId="77777777" w:rsidR="0084635B" w:rsidRDefault="0084635B" w:rsidP="0084635B"/>
    <w:p w14:paraId="32FE3CA4" w14:textId="57CC429A" w:rsidR="0084635B" w:rsidRDefault="0084635B" w:rsidP="0084635B">
      <w:pPr>
        <w:pStyle w:val="ListParagraph"/>
        <w:numPr>
          <w:ilvl w:val="0"/>
          <w:numId w:val="1"/>
        </w:numPr>
        <w:rPr>
          <w:b w:val="0"/>
        </w:rPr>
      </w:pPr>
      <w:r>
        <w:rPr>
          <w:b w:val="0"/>
        </w:rPr>
        <w:t xml:space="preserve">Where comparison with the HESA data </w:t>
      </w:r>
      <w:r w:rsidR="003E21F4">
        <w:rPr>
          <w:b w:val="0"/>
        </w:rPr>
        <w:t xml:space="preserve">shows that </w:t>
      </w:r>
      <w:r>
        <w:rPr>
          <w:b w:val="0"/>
        </w:rPr>
        <w:t xml:space="preserve">the HEI has not submitted 100 per cent of Category A eligible staff, they should be able to demonstrate evidence </w:t>
      </w:r>
      <w:r w:rsidDel="00BF6FF9">
        <w:rPr>
          <w:b w:val="0"/>
        </w:rPr>
        <w:t xml:space="preserve">that </w:t>
      </w:r>
      <w:r>
        <w:rPr>
          <w:b w:val="0"/>
        </w:rPr>
        <w:t>staff not submitted to REF 2021 do not have significant responsibility for research.</w:t>
      </w:r>
      <w:r w:rsidR="004735DB">
        <w:rPr>
          <w:b w:val="0"/>
        </w:rPr>
        <w:t xml:space="preserve"> </w:t>
      </w:r>
      <w:r>
        <w:rPr>
          <w:b w:val="0"/>
        </w:rPr>
        <w:t>T</w:t>
      </w:r>
      <w:r w:rsidRPr="00805142">
        <w:rPr>
          <w:b w:val="0"/>
        </w:rPr>
        <w:t xml:space="preserve">he evidence for this </w:t>
      </w:r>
      <w:r>
        <w:rPr>
          <w:b w:val="0"/>
        </w:rPr>
        <w:t>should relate</w:t>
      </w:r>
      <w:r w:rsidRPr="00805142">
        <w:rPr>
          <w:b w:val="0"/>
        </w:rPr>
        <w:t xml:space="preserve"> to the institution’s documented process</w:t>
      </w:r>
      <w:r>
        <w:rPr>
          <w:b w:val="0"/>
        </w:rPr>
        <w:t xml:space="preserve">es, as set out in its </w:t>
      </w:r>
      <w:r w:rsidR="00551AD8">
        <w:rPr>
          <w:b w:val="0"/>
        </w:rPr>
        <w:t>c</w:t>
      </w:r>
      <w:r w:rsidRPr="00DE597C">
        <w:rPr>
          <w:b w:val="0"/>
        </w:rPr>
        <w:t>ode of practice</w:t>
      </w:r>
      <w:r w:rsidRPr="00805142">
        <w:rPr>
          <w:b w:val="0"/>
        </w:rPr>
        <w:t>.</w:t>
      </w:r>
      <w:r w:rsidR="004735DB">
        <w:rPr>
          <w:b w:val="0"/>
        </w:rPr>
        <w:t xml:space="preserve"> </w:t>
      </w:r>
      <w:r>
        <w:rPr>
          <w:b w:val="0"/>
        </w:rPr>
        <w:t xml:space="preserve">Where there is </w:t>
      </w:r>
      <w:r w:rsidRPr="00DE597C">
        <w:rPr>
          <w:b w:val="0"/>
        </w:rPr>
        <w:lastRenderedPageBreak/>
        <w:t xml:space="preserve">evidence of persistent or serious discrepancies in the application of an HEI’s </w:t>
      </w:r>
      <w:r w:rsidR="00551AD8">
        <w:rPr>
          <w:b w:val="0"/>
        </w:rPr>
        <w:t>c</w:t>
      </w:r>
      <w:r w:rsidRPr="00DE597C">
        <w:rPr>
          <w:b w:val="0"/>
        </w:rPr>
        <w:t xml:space="preserve">ode of practice process, we may refer the matter to the relevant funding body for a </w:t>
      </w:r>
      <w:r w:rsidR="00551AD8">
        <w:rPr>
          <w:b w:val="0"/>
        </w:rPr>
        <w:t>c</w:t>
      </w:r>
      <w:r w:rsidRPr="00DE597C">
        <w:rPr>
          <w:b w:val="0"/>
        </w:rPr>
        <w:t xml:space="preserve">ode of practice investigation (see paragraph </w:t>
      </w:r>
      <w:r>
        <w:rPr>
          <w:b w:val="0"/>
          <w:highlight w:val="yellow"/>
        </w:rPr>
        <w:fldChar w:fldCharType="begin"/>
      </w:r>
      <w:r>
        <w:rPr>
          <w:b w:val="0"/>
        </w:rPr>
        <w:instrText xml:space="preserve"> REF _Ref10557993 \r \h </w:instrText>
      </w:r>
      <w:r>
        <w:rPr>
          <w:b w:val="0"/>
          <w:highlight w:val="yellow"/>
        </w:rPr>
      </w:r>
      <w:r>
        <w:rPr>
          <w:b w:val="0"/>
          <w:highlight w:val="yellow"/>
        </w:rPr>
        <w:fldChar w:fldCharType="separate"/>
      </w:r>
      <w:r w:rsidR="00FE72ED">
        <w:rPr>
          <w:b w:val="0"/>
        </w:rPr>
        <w:t>37</w:t>
      </w:r>
      <w:r>
        <w:rPr>
          <w:b w:val="0"/>
          <w:highlight w:val="yellow"/>
        </w:rPr>
        <w:fldChar w:fldCharType="end"/>
      </w:r>
      <w:r w:rsidRPr="00DE597C">
        <w:rPr>
          <w:b w:val="0"/>
        </w:rPr>
        <w:t xml:space="preserve"> below).</w:t>
      </w:r>
    </w:p>
    <w:p w14:paraId="5E692988" w14:textId="77777777" w:rsidR="00BA17D7" w:rsidRPr="001E0AB7" w:rsidRDefault="00BA17D7" w:rsidP="00BA17D7">
      <w:pPr>
        <w:pStyle w:val="ListParagraph"/>
        <w:rPr>
          <w:b w:val="0"/>
        </w:rPr>
      </w:pPr>
    </w:p>
    <w:p w14:paraId="036B2AF7" w14:textId="7388EA1F" w:rsidR="000313BA" w:rsidRDefault="00BA17D7" w:rsidP="00BA17D7">
      <w:pPr>
        <w:pStyle w:val="ListParagraph"/>
        <w:numPr>
          <w:ilvl w:val="0"/>
          <w:numId w:val="1"/>
        </w:numPr>
        <w:rPr>
          <w:b w:val="0"/>
        </w:rPr>
      </w:pPr>
      <w:r w:rsidRPr="00EB7366">
        <w:rPr>
          <w:b w:val="0"/>
        </w:rPr>
        <w:t>We will compare submitted staff with other submissions within and between HEIs</w:t>
      </w:r>
      <w:r>
        <w:rPr>
          <w:b w:val="0"/>
        </w:rPr>
        <w:t>.</w:t>
      </w:r>
      <w:r w:rsidR="004735DB">
        <w:rPr>
          <w:b w:val="0"/>
        </w:rPr>
        <w:t xml:space="preserve"> </w:t>
      </w:r>
      <w:r w:rsidR="000313BA">
        <w:rPr>
          <w:b w:val="0"/>
        </w:rPr>
        <w:t xml:space="preserve">Evidence may be requested from HEIs to verify </w:t>
      </w:r>
      <w:r w:rsidR="000313BA" w:rsidRPr="001C7B2B">
        <w:rPr>
          <w:b w:val="0"/>
        </w:rPr>
        <w:t xml:space="preserve">staff eligibility or FTE where </w:t>
      </w:r>
      <w:r w:rsidR="00D91AAE">
        <w:rPr>
          <w:b w:val="0"/>
        </w:rPr>
        <w:t>an</w:t>
      </w:r>
      <w:r w:rsidR="00D91AAE" w:rsidRPr="001C7B2B">
        <w:rPr>
          <w:b w:val="0"/>
        </w:rPr>
        <w:t xml:space="preserve"> </w:t>
      </w:r>
      <w:r w:rsidR="000313BA" w:rsidRPr="001C7B2B">
        <w:rPr>
          <w:b w:val="0"/>
        </w:rPr>
        <w:t xml:space="preserve">individual has been returned </w:t>
      </w:r>
      <w:r w:rsidR="000313BA">
        <w:rPr>
          <w:b w:val="0"/>
        </w:rPr>
        <w:t>by</w:t>
      </w:r>
      <w:r w:rsidR="000313BA" w:rsidRPr="001C7B2B">
        <w:rPr>
          <w:b w:val="0"/>
        </w:rPr>
        <w:t xml:space="preserve"> more than one </w:t>
      </w:r>
      <w:r w:rsidR="000313BA">
        <w:rPr>
          <w:b w:val="0"/>
        </w:rPr>
        <w:t>HEI</w:t>
      </w:r>
      <w:r w:rsidR="000313BA" w:rsidRPr="001C7B2B">
        <w:rPr>
          <w:b w:val="0"/>
        </w:rPr>
        <w:t>.</w:t>
      </w:r>
      <w:r w:rsidR="004735DB">
        <w:rPr>
          <w:b w:val="0"/>
        </w:rPr>
        <w:t xml:space="preserve"> </w:t>
      </w:r>
      <w:r w:rsidR="000313BA">
        <w:rPr>
          <w:b w:val="0"/>
        </w:rPr>
        <w:t>Suitable evidence will include that described in paragraph</w:t>
      </w:r>
      <w:r w:rsidR="00BC4E36">
        <w:rPr>
          <w:b w:val="0"/>
        </w:rPr>
        <w:t> </w:t>
      </w:r>
      <w:r w:rsidR="000313BA">
        <w:rPr>
          <w:b w:val="0"/>
        </w:rPr>
        <w:fldChar w:fldCharType="begin"/>
      </w:r>
      <w:r w:rsidR="000313BA">
        <w:rPr>
          <w:b w:val="0"/>
        </w:rPr>
        <w:instrText xml:space="preserve"> REF _Ref2870539 \r \h </w:instrText>
      </w:r>
      <w:r w:rsidR="000313BA">
        <w:rPr>
          <w:b w:val="0"/>
        </w:rPr>
      </w:r>
      <w:r w:rsidR="000313BA">
        <w:rPr>
          <w:b w:val="0"/>
        </w:rPr>
        <w:fldChar w:fldCharType="separate"/>
      </w:r>
      <w:r w:rsidR="00FE72ED">
        <w:rPr>
          <w:b w:val="0"/>
        </w:rPr>
        <w:t>26</w:t>
      </w:r>
      <w:r w:rsidR="000313BA">
        <w:rPr>
          <w:b w:val="0"/>
        </w:rPr>
        <w:fldChar w:fldCharType="end"/>
      </w:r>
      <w:r w:rsidR="000313BA">
        <w:rPr>
          <w:b w:val="0"/>
        </w:rPr>
        <w:t>.</w:t>
      </w:r>
    </w:p>
    <w:p w14:paraId="415BF011" w14:textId="77777777" w:rsidR="000313BA" w:rsidRPr="000313BA" w:rsidRDefault="000313BA" w:rsidP="00E424E4">
      <w:pPr>
        <w:pStyle w:val="ListParagraph"/>
        <w:rPr>
          <w:b w:val="0"/>
        </w:rPr>
      </w:pPr>
    </w:p>
    <w:p w14:paraId="7F1587B3" w14:textId="77777777" w:rsidR="00BA17D7" w:rsidRDefault="000313BA" w:rsidP="00BA17D7">
      <w:pPr>
        <w:pStyle w:val="ListParagraph"/>
        <w:numPr>
          <w:ilvl w:val="0"/>
          <w:numId w:val="1"/>
        </w:numPr>
        <w:rPr>
          <w:b w:val="0"/>
        </w:rPr>
      </w:pPr>
      <w:bookmarkStart w:id="15" w:name="_Ref10619659"/>
      <w:r>
        <w:rPr>
          <w:b w:val="0"/>
        </w:rPr>
        <w:t>W</w:t>
      </w:r>
      <w:r w:rsidR="00BA17D7">
        <w:rPr>
          <w:b w:val="0"/>
        </w:rPr>
        <w:t xml:space="preserve">e will compare submitted staff across the submitting HEI with the staff returned in the HESA C18025 (2018/19) and C19025 (2019/20) returns, looking at the UOA in which they have been submitted and the </w:t>
      </w:r>
      <w:r w:rsidR="00C77534">
        <w:rPr>
          <w:b w:val="0"/>
        </w:rPr>
        <w:t>cost centre</w:t>
      </w:r>
      <w:r w:rsidR="00BA17D7">
        <w:rPr>
          <w:b w:val="0"/>
        </w:rPr>
        <w:t xml:space="preserve"> in the HESA data.</w:t>
      </w:r>
      <w:r w:rsidR="004735DB">
        <w:rPr>
          <w:b w:val="0"/>
        </w:rPr>
        <w:t xml:space="preserve"> </w:t>
      </w:r>
      <w:r w:rsidR="00BA17D7" w:rsidRPr="00EB7366">
        <w:rPr>
          <w:b w:val="0"/>
        </w:rPr>
        <w:t xml:space="preserve">Targeted audits will be carried out where these data comparisons identify </w:t>
      </w:r>
      <w:r w:rsidR="00321FDC">
        <w:rPr>
          <w:b w:val="0"/>
        </w:rPr>
        <w:t>significant anomalies</w:t>
      </w:r>
      <w:r w:rsidR="00BA17D7" w:rsidRPr="00EB7366">
        <w:rPr>
          <w:b w:val="0"/>
        </w:rPr>
        <w:t>.</w:t>
      </w:r>
      <w:bookmarkEnd w:id="15"/>
    </w:p>
    <w:p w14:paraId="7803E1D3" w14:textId="77777777" w:rsidR="00BA17D7" w:rsidRPr="00BC0B8B" w:rsidRDefault="00BA17D7" w:rsidP="00BA17D7">
      <w:pPr>
        <w:pStyle w:val="ListParagraph"/>
        <w:rPr>
          <w:b w:val="0"/>
        </w:rPr>
      </w:pPr>
    </w:p>
    <w:p w14:paraId="47FB48F9" w14:textId="5BF3B7F6" w:rsidR="00BA17D7" w:rsidRDefault="00BA17D7" w:rsidP="00BA17D7">
      <w:pPr>
        <w:pStyle w:val="ListParagraph"/>
        <w:numPr>
          <w:ilvl w:val="0"/>
          <w:numId w:val="1"/>
        </w:numPr>
        <w:rPr>
          <w:b w:val="0"/>
        </w:rPr>
      </w:pPr>
      <w:r>
        <w:rPr>
          <w:b w:val="0"/>
        </w:rPr>
        <w:t xml:space="preserve">When comparing </w:t>
      </w:r>
      <w:r w:rsidR="00A63B5B">
        <w:rPr>
          <w:b w:val="0"/>
        </w:rPr>
        <w:t>submissions</w:t>
      </w:r>
      <w:r w:rsidR="003454DF">
        <w:rPr>
          <w:b w:val="0"/>
        </w:rPr>
        <w:t xml:space="preserve"> </w:t>
      </w:r>
      <w:r>
        <w:rPr>
          <w:b w:val="0"/>
        </w:rPr>
        <w:t xml:space="preserve">with HESA data we will use the </w:t>
      </w:r>
      <w:r w:rsidR="00726F0E">
        <w:rPr>
          <w:b w:val="0"/>
        </w:rPr>
        <w:t xml:space="preserve">HESA ID, </w:t>
      </w:r>
      <w:proofErr w:type="gramStart"/>
      <w:r w:rsidR="00726F0E">
        <w:rPr>
          <w:b w:val="0"/>
        </w:rPr>
        <w:t>and also</w:t>
      </w:r>
      <w:proofErr w:type="gramEnd"/>
      <w:r w:rsidR="00726F0E">
        <w:rPr>
          <w:b w:val="0"/>
        </w:rPr>
        <w:t xml:space="preserve"> the </w:t>
      </w:r>
      <w:r>
        <w:rPr>
          <w:b w:val="0"/>
        </w:rPr>
        <w:t xml:space="preserve">ORCID </w:t>
      </w:r>
      <w:r w:rsidR="00726F0E">
        <w:rPr>
          <w:b w:val="0"/>
        </w:rPr>
        <w:t>(</w:t>
      </w:r>
      <w:r>
        <w:rPr>
          <w:b w:val="0"/>
        </w:rPr>
        <w:t>where available</w:t>
      </w:r>
      <w:r w:rsidR="00726F0E">
        <w:rPr>
          <w:b w:val="0"/>
        </w:rPr>
        <w:t>)</w:t>
      </w:r>
      <w:r>
        <w:rPr>
          <w:b w:val="0"/>
        </w:rPr>
        <w:t>, to match staff across data sets.</w:t>
      </w:r>
      <w:r w:rsidR="004735DB">
        <w:rPr>
          <w:b w:val="0"/>
        </w:rPr>
        <w:t xml:space="preserve"> </w:t>
      </w:r>
      <w:r>
        <w:rPr>
          <w:b w:val="0"/>
        </w:rPr>
        <w:t xml:space="preserve">Where comparisons (as described in paragraphs </w:t>
      </w:r>
      <w:r w:rsidR="00625266">
        <w:rPr>
          <w:b w:val="0"/>
        </w:rPr>
        <w:fldChar w:fldCharType="begin"/>
      </w:r>
      <w:r w:rsidR="00625266">
        <w:rPr>
          <w:b w:val="0"/>
        </w:rPr>
        <w:instrText xml:space="preserve"> REF _Ref10619648 \r \h </w:instrText>
      </w:r>
      <w:r w:rsidR="00625266">
        <w:rPr>
          <w:b w:val="0"/>
        </w:rPr>
      </w:r>
      <w:r w:rsidR="00625266">
        <w:rPr>
          <w:b w:val="0"/>
        </w:rPr>
        <w:fldChar w:fldCharType="separate"/>
      </w:r>
      <w:r w:rsidR="00FE72ED">
        <w:rPr>
          <w:b w:val="0"/>
        </w:rPr>
        <w:t>32</w:t>
      </w:r>
      <w:r w:rsidR="00625266">
        <w:rPr>
          <w:b w:val="0"/>
        </w:rPr>
        <w:fldChar w:fldCharType="end"/>
      </w:r>
      <w:r>
        <w:rPr>
          <w:b w:val="0"/>
        </w:rPr>
        <w:t>-</w:t>
      </w:r>
      <w:r w:rsidR="00625266">
        <w:rPr>
          <w:b w:val="0"/>
        </w:rPr>
        <w:fldChar w:fldCharType="begin"/>
      </w:r>
      <w:r w:rsidR="00625266">
        <w:rPr>
          <w:b w:val="0"/>
        </w:rPr>
        <w:instrText xml:space="preserve"> REF _Ref10619659 \r \h </w:instrText>
      </w:r>
      <w:r w:rsidR="00625266">
        <w:rPr>
          <w:b w:val="0"/>
        </w:rPr>
      </w:r>
      <w:r w:rsidR="00625266">
        <w:rPr>
          <w:b w:val="0"/>
        </w:rPr>
        <w:fldChar w:fldCharType="separate"/>
      </w:r>
      <w:r w:rsidR="00FE72ED">
        <w:rPr>
          <w:b w:val="0"/>
        </w:rPr>
        <w:t>35</w:t>
      </w:r>
      <w:r w:rsidR="00625266">
        <w:rPr>
          <w:b w:val="0"/>
        </w:rPr>
        <w:fldChar w:fldCharType="end"/>
      </w:r>
      <w:r>
        <w:rPr>
          <w:b w:val="0"/>
        </w:rPr>
        <w:t xml:space="preserve">) identify discrepancies, we would normally expect audit evidence to be provided as per the list of evidence </w:t>
      </w:r>
      <w:r w:rsidR="007D3283">
        <w:rPr>
          <w:b w:val="0"/>
        </w:rPr>
        <w:t xml:space="preserve">set out in </w:t>
      </w:r>
      <w:r>
        <w:rPr>
          <w:b w:val="0"/>
        </w:rPr>
        <w:t xml:space="preserve">paragraph </w:t>
      </w:r>
      <w:r>
        <w:rPr>
          <w:b w:val="0"/>
        </w:rPr>
        <w:fldChar w:fldCharType="begin"/>
      </w:r>
      <w:r>
        <w:rPr>
          <w:b w:val="0"/>
        </w:rPr>
        <w:instrText xml:space="preserve"> REF _Ref5374492 \r \h </w:instrText>
      </w:r>
      <w:r>
        <w:rPr>
          <w:b w:val="0"/>
        </w:rPr>
      </w:r>
      <w:r>
        <w:rPr>
          <w:b w:val="0"/>
        </w:rPr>
        <w:fldChar w:fldCharType="separate"/>
      </w:r>
      <w:r w:rsidR="00FE72ED">
        <w:rPr>
          <w:b w:val="0"/>
        </w:rPr>
        <w:t>26</w:t>
      </w:r>
      <w:r>
        <w:rPr>
          <w:b w:val="0"/>
        </w:rPr>
        <w:fldChar w:fldCharType="end"/>
      </w:r>
      <w:r w:rsidR="00F353A1">
        <w:rPr>
          <w:b w:val="0"/>
        </w:rPr>
        <w:t xml:space="preserve"> above</w:t>
      </w:r>
      <w:r>
        <w:rPr>
          <w:b w:val="0"/>
        </w:rPr>
        <w:t>.</w:t>
      </w:r>
    </w:p>
    <w:p w14:paraId="0E2B52E6" w14:textId="77777777" w:rsidR="00BA17D7" w:rsidRPr="00BA17D7" w:rsidRDefault="00BA17D7" w:rsidP="00474926">
      <w:pPr>
        <w:pStyle w:val="ListParagraph"/>
        <w:rPr>
          <w:b w:val="0"/>
        </w:rPr>
      </w:pPr>
    </w:p>
    <w:p w14:paraId="2F17FE3F" w14:textId="77777777" w:rsidR="00163C6F" w:rsidRDefault="00DA5CED" w:rsidP="00BA17D7">
      <w:pPr>
        <w:pStyle w:val="ListParagraph"/>
        <w:numPr>
          <w:ilvl w:val="0"/>
          <w:numId w:val="1"/>
        </w:numPr>
        <w:rPr>
          <w:b w:val="0"/>
        </w:rPr>
      </w:pPr>
      <w:bookmarkStart w:id="16" w:name="_Ref10557993"/>
      <w:r w:rsidRPr="00BD465A">
        <w:rPr>
          <w:b w:val="0"/>
        </w:rPr>
        <w:t xml:space="preserve">Where deemed necessary, the funding bodies may seek to verify through audit that HEIs have adhered to the </w:t>
      </w:r>
      <w:r w:rsidR="00305821">
        <w:rPr>
          <w:b w:val="0"/>
        </w:rPr>
        <w:t xml:space="preserve">approaches and </w:t>
      </w:r>
      <w:r w:rsidRPr="00BD465A">
        <w:rPr>
          <w:b w:val="0"/>
        </w:rPr>
        <w:t>processes set out in their code of practice.</w:t>
      </w:r>
      <w:r w:rsidR="004735DB">
        <w:rPr>
          <w:b w:val="0"/>
        </w:rPr>
        <w:t xml:space="preserve"> </w:t>
      </w:r>
      <w:r w:rsidR="007A1534">
        <w:rPr>
          <w:b w:val="0"/>
        </w:rPr>
        <w:t xml:space="preserve">Where audit identifies concerns, these will be managed through the </w:t>
      </w:r>
      <w:r w:rsidR="004B61C1">
        <w:rPr>
          <w:b w:val="0"/>
        </w:rPr>
        <w:t>complaints process for codes of practice</w:t>
      </w:r>
      <w:r w:rsidR="00F25408">
        <w:rPr>
          <w:b w:val="0"/>
        </w:rPr>
        <w:t>, which will be published in autumn 2019</w:t>
      </w:r>
      <w:r w:rsidR="004B61C1">
        <w:rPr>
          <w:b w:val="0"/>
        </w:rPr>
        <w:t>.</w:t>
      </w:r>
      <w:bookmarkEnd w:id="16"/>
    </w:p>
    <w:p w14:paraId="468195AC" w14:textId="77777777" w:rsidR="002E23E8" w:rsidRPr="002E23E8" w:rsidRDefault="002E23E8" w:rsidP="0006341F">
      <w:pPr>
        <w:pStyle w:val="ListParagraph"/>
        <w:rPr>
          <w:b w:val="0"/>
        </w:rPr>
      </w:pPr>
    </w:p>
    <w:p w14:paraId="7457B8B4" w14:textId="77777777" w:rsidR="002E23E8" w:rsidRPr="0006341F" w:rsidRDefault="00C710DC" w:rsidP="00261E5C">
      <w:pPr>
        <w:pStyle w:val="ListParagraph"/>
        <w:numPr>
          <w:ilvl w:val="0"/>
          <w:numId w:val="1"/>
        </w:numPr>
        <w:rPr>
          <w:b w:val="0"/>
        </w:rPr>
      </w:pPr>
      <w:r>
        <w:rPr>
          <w:b w:val="0"/>
        </w:rPr>
        <w:t>W</w:t>
      </w:r>
      <w:r w:rsidRPr="0006341F">
        <w:rPr>
          <w:b w:val="0"/>
        </w:rPr>
        <w:t>hen auditing an institution’s compliance with its code of practice</w:t>
      </w:r>
      <w:r>
        <w:rPr>
          <w:b w:val="0"/>
        </w:rPr>
        <w:t xml:space="preserve">, the </w:t>
      </w:r>
      <w:r w:rsidR="004D1BF3">
        <w:rPr>
          <w:b w:val="0"/>
        </w:rPr>
        <w:t>staff circumstances report (</w:t>
      </w:r>
      <w:r w:rsidR="00FD748A">
        <w:rPr>
          <w:b w:val="0"/>
        </w:rPr>
        <w:t xml:space="preserve">as described in paragraph 73 of the </w:t>
      </w:r>
      <w:r w:rsidR="00055E35">
        <w:rPr>
          <w:b w:val="0"/>
        </w:rPr>
        <w:t>‘</w:t>
      </w:r>
      <w:r w:rsidR="0067054B" w:rsidRPr="001827BF">
        <w:rPr>
          <w:b w:val="0"/>
        </w:rPr>
        <w:t>Guidance</w:t>
      </w:r>
      <w:r w:rsidR="00FD748A" w:rsidRPr="001827BF">
        <w:rPr>
          <w:b w:val="0"/>
        </w:rPr>
        <w:t xml:space="preserve"> on </w:t>
      </w:r>
      <w:r w:rsidR="00055E35">
        <w:rPr>
          <w:b w:val="0"/>
        </w:rPr>
        <w:t>c</w:t>
      </w:r>
      <w:r w:rsidR="00FD748A" w:rsidRPr="001827BF">
        <w:rPr>
          <w:b w:val="0"/>
        </w:rPr>
        <w:t xml:space="preserve">odes of </w:t>
      </w:r>
      <w:r w:rsidR="004C0AAA">
        <w:rPr>
          <w:b w:val="0"/>
        </w:rPr>
        <w:t>p</w:t>
      </w:r>
      <w:r w:rsidR="00FD748A" w:rsidRPr="001827BF">
        <w:rPr>
          <w:b w:val="0"/>
        </w:rPr>
        <w:t>ractice</w:t>
      </w:r>
      <w:r w:rsidR="00055E35">
        <w:rPr>
          <w:b w:val="0"/>
        </w:rPr>
        <w:t>’</w:t>
      </w:r>
      <w:r w:rsidR="00FD748A">
        <w:rPr>
          <w:b w:val="0"/>
        </w:rPr>
        <w:t>)</w:t>
      </w:r>
      <w:r w:rsidR="0067054B" w:rsidRPr="001827BF">
        <w:rPr>
          <w:b w:val="0"/>
        </w:rPr>
        <w:t xml:space="preserve"> </w:t>
      </w:r>
      <w:r w:rsidR="0067054B" w:rsidRPr="0006341F">
        <w:rPr>
          <w:b w:val="0"/>
        </w:rPr>
        <w:t xml:space="preserve">may be </w:t>
      </w:r>
      <w:proofErr w:type="gramStart"/>
      <w:r w:rsidR="0067054B" w:rsidRPr="0006341F">
        <w:rPr>
          <w:b w:val="0"/>
        </w:rPr>
        <w:t>taken into account</w:t>
      </w:r>
      <w:proofErr w:type="gramEnd"/>
      <w:r w:rsidR="0067054B" w:rsidRPr="0006341F">
        <w:rPr>
          <w:b w:val="0"/>
        </w:rPr>
        <w:t>.</w:t>
      </w:r>
    </w:p>
    <w:p w14:paraId="6455CDB2" w14:textId="77777777" w:rsidR="00496C59" w:rsidRDefault="00496C59" w:rsidP="00B97DEC">
      <w:pPr>
        <w:rPr>
          <w:b/>
        </w:rPr>
      </w:pPr>
    </w:p>
    <w:p w14:paraId="4AC10CB1" w14:textId="77777777" w:rsidR="00496C59" w:rsidRPr="000313BA" w:rsidRDefault="00496C59" w:rsidP="000313BA">
      <w:pPr>
        <w:pStyle w:val="ListParagraph"/>
        <w:numPr>
          <w:ilvl w:val="0"/>
          <w:numId w:val="1"/>
        </w:numPr>
        <w:rPr>
          <w:b w:val="0"/>
        </w:rPr>
      </w:pPr>
      <w:r w:rsidRPr="00B34E16">
        <w:rPr>
          <w:b w:val="0"/>
        </w:rPr>
        <w:t>If a member of staff’s eligibility cannot be verified, the individual and their associated outputs will be removed from the submission</w:t>
      </w:r>
      <w:r>
        <w:rPr>
          <w:b w:val="0"/>
        </w:rPr>
        <w:t>,</w:t>
      </w:r>
      <w:r w:rsidRPr="00B34E16">
        <w:rPr>
          <w:b w:val="0"/>
        </w:rPr>
        <w:t xml:space="preserve"> </w:t>
      </w:r>
      <w:r>
        <w:rPr>
          <w:b w:val="0"/>
        </w:rPr>
        <w:t>and/or t</w:t>
      </w:r>
      <w:r w:rsidRPr="009D2499">
        <w:rPr>
          <w:b w:val="0"/>
        </w:rPr>
        <w:t>he FTE or category of a member of submitted staff may be adjusted.</w:t>
      </w:r>
      <w:r w:rsidR="004735DB">
        <w:rPr>
          <w:b w:val="0"/>
        </w:rPr>
        <w:t xml:space="preserve"> </w:t>
      </w:r>
      <w:r w:rsidR="000313BA">
        <w:rPr>
          <w:b w:val="0"/>
        </w:rPr>
        <w:t>Where the</w:t>
      </w:r>
      <w:r w:rsidR="000313BA" w:rsidRPr="000313BA">
        <w:rPr>
          <w:b w:val="0"/>
        </w:rPr>
        <w:t xml:space="preserve"> audit process identifies staff with</w:t>
      </w:r>
      <w:r w:rsidR="000313BA">
        <w:rPr>
          <w:b w:val="0"/>
        </w:rPr>
        <w:t xml:space="preserve"> </w:t>
      </w:r>
      <w:r w:rsidR="000313BA" w:rsidRPr="000313BA">
        <w:rPr>
          <w:b w:val="0"/>
        </w:rPr>
        <w:t>significant responsibility for research that have not been submitted</w:t>
      </w:r>
      <w:r w:rsidR="00CA6680" w:rsidRPr="000313BA">
        <w:rPr>
          <w:b w:val="0"/>
        </w:rPr>
        <w:t xml:space="preserve">, </w:t>
      </w:r>
      <w:r w:rsidR="000313BA" w:rsidRPr="000313BA">
        <w:rPr>
          <w:b w:val="0"/>
        </w:rPr>
        <w:t>their FTE will be added</w:t>
      </w:r>
      <w:r w:rsidR="00D943A4">
        <w:rPr>
          <w:b w:val="0"/>
        </w:rPr>
        <w:t xml:space="preserve"> </w:t>
      </w:r>
      <w:r w:rsidR="000313BA" w:rsidRPr="000313BA">
        <w:rPr>
          <w:b w:val="0"/>
        </w:rPr>
        <w:t>to the unit’s submission and the total output requirement will be recalculated accordingly.</w:t>
      </w:r>
      <w:r w:rsidR="000313BA">
        <w:rPr>
          <w:b w:val="0"/>
        </w:rPr>
        <w:t xml:space="preserve"> </w:t>
      </w:r>
      <w:r w:rsidR="000313BA" w:rsidRPr="000313BA">
        <w:rPr>
          <w:b w:val="0"/>
        </w:rPr>
        <w:t>An unclassified score will be added to the outputs sub-profile for each missing output in the</w:t>
      </w:r>
      <w:r w:rsidR="000313BA">
        <w:rPr>
          <w:b w:val="0"/>
        </w:rPr>
        <w:t xml:space="preserve"> </w:t>
      </w:r>
      <w:r w:rsidR="000313BA" w:rsidRPr="000313BA">
        <w:rPr>
          <w:b w:val="0"/>
        </w:rPr>
        <w:t>recalculated total.</w:t>
      </w:r>
      <w:r w:rsidR="004735DB">
        <w:rPr>
          <w:b w:val="0"/>
        </w:rPr>
        <w:t xml:space="preserve"> </w:t>
      </w:r>
      <w:r w:rsidR="00386245">
        <w:rPr>
          <w:b w:val="0"/>
        </w:rPr>
        <w:t xml:space="preserve">See </w:t>
      </w:r>
      <w:r w:rsidR="005E4029">
        <w:rPr>
          <w:b w:val="0"/>
        </w:rPr>
        <w:t xml:space="preserve">paragraph 143 of the ‘Guidance on </w:t>
      </w:r>
      <w:proofErr w:type="gramStart"/>
      <w:r w:rsidR="005E4029">
        <w:rPr>
          <w:b w:val="0"/>
        </w:rPr>
        <w:t>submissions’</w:t>
      </w:r>
      <w:proofErr w:type="gramEnd"/>
      <w:r w:rsidR="00386245">
        <w:rPr>
          <w:b w:val="0"/>
        </w:rPr>
        <w:t>.</w:t>
      </w:r>
    </w:p>
    <w:p w14:paraId="6B10B2C5" w14:textId="77777777" w:rsidR="00496C59" w:rsidRDefault="00496C59" w:rsidP="00496C59">
      <w:pPr>
        <w:pStyle w:val="ListParagraph"/>
        <w:ind w:left="0"/>
        <w:rPr>
          <w:b w:val="0"/>
        </w:rPr>
      </w:pPr>
    </w:p>
    <w:p w14:paraId="7AA732EA" w14:textId="281CF4B7" w:rsidR="00496C59" w:rsidRPr="00001D29" w:rsidRDefault="00496C59" w:rsidP="00496C59">
      <w:pPr>
        <w:pStyle w:val="ListParagraph"/>
        <w:ind w:left="0"/>
        <w:rPr>
          <w:b w:val="0"/>
          <w:sz w:val="24"/>
          <w:szCs w:val="24"/>
        </w:rPr>
      </w:pPr>
      <w:r w:rsidRPr="00A65E15">
        <w:rPr>
          <w:sz w:val="24"/>
          <w:szCs w:val="24"/>
        </w:rPr>
        <w:t xml:space="preserve">Research </w:t>
      </w:r>
      <w:r w:rsidR="00CF73F8">
        <w:rPr>
          <w:sz w:val="24"/>
          <w:szCs w:val="24"/>
        </w:rPr>
        <w:t>o</w:t>
      </w:r>
      <w:r w:rsidRPr="00001D29">
        <w:rPr>
          <w:sz w:val="24"/>
          <w:szCs w:val="24"/>
        </w:rPr>
        <w:t>utputs (REF2)</w:t>
      </w:r>
    </w:p>
    <w:p w14:paraId="7B5924E1" w14:textId="77777777" w:rsidR="00496C59" w:rsidRDefault="00496C59" w:rsidP="00496C59">
      <w:pPr>
        <w:pStyle w:val="ListParagraph"/>
        <w:ind w:left="0"/>
        <w:rPr>
          <w:b w:val="0"/>
        </w:rPr>
      </w:pPr>
    </w:p>
    <w:p w14:paraId="25E8BEE8" w14:textId="5B941944" w:rsidR="00496C59" w:rsidRDefault="00496C59" w:rsidP="00496C59">
      <w:pPr>
        <w:pStyle w:val="ListParagraph"/>
        <w:numPr>
          <w:ilvl w:val="0"/>
          <w:numId w:val="1"/>
        </w:numPr>
        <w:rPr>
          <w:b w:val="0"/>
        </w:rPr>
      </w:pPr>
      <w:r>
        <w:rPr>
          <w:b w:val="0"/>
        </w:rPr>
        <w:t xml:space="preserve">We will undertake verification </w:t>
      </w:r>
      <w:r w:rsidRPr="001C7B2B">
        <w:rPr>
          <w:b w:val="0"/>
        </w:rPr>
        <w:t>of the date</w:t>
      </w:r>
      <w:r>
        <w:rPr>
          <w:b w:val="0"/>
        </w:rPr>
        <w:t>s</w:t>
      </w:r>
      <w:r w:rsidRPr="001C7B2B">
        <w:rPr>
          <w:b w:val="0"/>
        </w:rPr>
        <w:t xml:space="preserve"> that output</w:t>
      </w:r>
      <w:r>
        <w:rPr>
          <w:b w:val="0"/>
        </w:rPr>
        <w:t>s</w:t>
      </w:r>
      <w:r w:rsidRPr="001C7B2B">
        <w:rPr>
          <w:b w:val="0"/>
        </w:rPr>
        <w:t xml:space="preserve"> became publicly available, particularly </w:t>
      </w:r>
      <w:r>
        <w:rPr>
          <w:b w:val="0"/>
        </w:rPr>
        <w:t>where they were</w:t>
      </w:r>
      <w:r w:rsidRPr="001C7B2B">
        <w:rPr>
          <w:b w:val="0"/>
        </w:rPr>
        <w:t xml:space="preserve"> published early in the REF period or </w:t>
      </w:r>
      <w:r>
        <w:rPr>
          <w:b w:val="0"/>
        </w:rPr>
        <w:t>are</w:t>
      </w:r>
      <w:r w:rsidRPr="001C7B2B">
        <w:rPr>
          <w:b w:val="0"/>
        </w:rPr>
        <w:t xml:space="preserve"> marked as ‘pending’ publication (for example, by </w:t>
      </w:r>
      <w:r w:rsidR="00211D53">
        <w:rPr>
          <w:b w:val="0"/>
        </w:rPr>
        <w:t>obtain</w:t>
      </w:r>
      <w:r w:rsidRPr="001C7B2B">
        <w:rPr>
          <w:b w:val="0"/>
        </w:rPr>
        <w:t>ing a letter from the publisher).</w:t>
      </w:r>
      <w:r w:rsidR="004735DB">
        <w:rPr>
          <w:b w:val="0"/>
        </w:rPr>
        <w:t xml:space="preserve"> </w:t>
      </w:r>
      <w:r>
        <w:rPr>
          <w:b w:val="0"/>
        </w:rPr>
        <w:t xml:space="preserve">This will include checking the publication year against the </w:t>
      </w:r>
      <w:proofErr w:type="spellStart"/>
      <w:r w:rsidRPr="00F2145D">
        <w:rPr>
          <w:b w:val="0"/>
          <w:i/>
          <w:iCs/>
        </w:rPr>
        <w:t>Crossref</w:t>
      </w:r>
      <w:proofErr w:type="spellEnd"/>
      <w:r w:rsidR="004F2416" w:rsidRPr="00C72E4B">
        <w:rPr>
          <w:rStyle w:val="FootnoteReference"/>
          <w:b w:val="0"/>
          <w:iCs/>
        </w:rPr>
        <w:footnoteReference w:id="5"/>
      </w:r>
      <w:r>
        <w:rPr>
          <w:b w:val="0"/>
        </w:rPr>
        <w:t xml:space="preserve"> database and against J</w:t>
      </w:r>
      <w:r w:rsidR="00D56D8D">
        <w:rPr>
          <w:b w:val="0"/>
        </w:rPr>
        <w:t>isc</w:t>
      </w:r>
      <w:r>
        <w:rPr>
          <w:b w:val="0"/>
        </w:rPr>
        <w:t xml:space="preserve"> CORE</w:t>
      </w:r>
      <w:r w:rsidR="004F2416">
        <w:rPr>
          <w:rStyle w:val="FootnoteReference"/>
          <w:b w:val="0"/>
        </w:rPr>
        <w:footnoteReference w:id="6"/>
      </w:r>
      <w:r>
        <w:rPr>
          <w:b w:val="0"/>
        </w:rPr>
        <w:t>.</w:t>
      </w:r>
    </w:p>
    <w:p w14:paraId="6CF084CC" w14:textId="77777777" w:rsidR="007854C4" w:rsidRPr="009A23E6" w:rsidRDefault="007854C4" w:rsidP="0017383B">
      <w:pPr>
        <w:pStyle w:val="ListParagraph"/>
        <w:rPr>
          <w:b w:val="0"/>
        </w:rPr>
      </w:pPr>
    </w:p>
    <w:p w14:paraId="622380FD" w14:textId="77777777" w:rsidR="00496C59" w:rsidRDefault="00FC7A18" w:rsidP="00496C59">
      <w:pPr>
        <w:pStyle w:val="ListParagraph"/>
        <w:numPr>
          <w:ilvl w:val="0"/>
          <w:numId w:val="1"/>
        </w:numPr>
        <w:rPr>
          <w:b w:val="0"/>
        </w:rPr>
      </w:pPr>
      <w:r>
        <w:rPr>
          <w:b w:val="0"/>
        </w:rPr>
        <w:lastRenderedPageBreak/>
        <w:t xml:space="preserve">We will </w:t>
      </w:r>
      <w:r w:rsidR="004A2FEC">
        <w:rPr>
          <w:b w:val="0"/>
        </w:rPr>
        <w:t xml:space="preserve">audit </w:t>
      </w:r>
      <w:r>
        <w:rPr>
          <w:b w:val="0"/>
        </w:rPr>
        <w:t>a sample of</w:t>
      </w:r>
      <w:r w:rsidRPr="009A277E">
        <w:rPr>
          <w:b w:val="0"/>
        </w:rPr>
        <w:t xml:space="preserve"> </w:t>
      </w:r>
      <w:r w:rsidR="00496C59" w:rsidRPr="009A277E">
        <w:rPr>
          <w:b w:val="0"/>
        </w:rPr>
        <w:t>research outputs that are returned for former staff</w:t>
      </w:r>
      <w:r>
        <w:rPr>
          <w:b w:val="0"/>
        </w:rPr>
        <w:t>, to</w:t>
      </w:r>
      <w:r w:rsidR="00496C59" w:rsidRPr="009A277E">
        <w:rPr>
          <w:b w:val="0"/>
        </w:rPr>
        <w:t xml:space="preserve"> verify that</w:t>
      </w:r>
      <w:r w:rsidR="00496C59">
        <w:rPr>
          <w:b w:val="0"/>
        </w:rPr>
        <w:t xml:space="preserve"> the </w:t>
      </w:r>
      <w:r w:rsidR="00496C59" w:rsidRPr="009A277E">
        <w:rPr>
          <w:b w:val="0"/>
        </w:rPr>
        <w:t>former member of staff was employed by the submitting unit as Cat</w:t>
      </w:r>
      <w:r w:rsidR="00496C59">
        <w:rPr>
          <w:b w:val="0"/>
        </w:rPr>
        <w:t>egory</w:t>
      </w:r>
      <w:r w:rsidR="00496C59" w:rsidRPr="009A277E">
        <w:rPr>
          <w:b w:val="0"/>
        </w:rPr>
        <w:t xml:space="preserve"> A eligible on the date that the output was first made publicly available</w:t>
      </w:r>
      <w:r w:rsidR="00496C59">
        <w:rPr>
          <w:b w:val="0"/>
        </w:rPr>
        <w:t>.</w:t>
      </w:r>
    </w:p>
    <w:p w14:paraId="071865EC" w14:textId="77777777" w:rsidR="004D5322" w:rsidRDefault="004D5322" w:rsidP="002A4B0B">
      <w:pPr>
        <w:pStyle w:val="ListParagraph"/>
        <w:ind w:left="0"/>
        <w:rPr>
          <w:b w:val="0"/>
        </w:rPr>
      </w:pPr>
    </w:p>
    <w:p w14:paraId="4E0AB373" w14:textId="77777777" w:rsidR="004A2FEC" w:rsidRDefault="0082735C" w:rsidP="00F85F9E">
      <w:pPr>
        <w:pStyle w:val="ListParagraph"/>
        <w:numPr>
          <w:ilvl w:val="0"/>
          <w:numId w:val="1"/>
        </w:numPr>
        <w:rPr>
          <w:b w:val="0"/>
        </w:rPr>
      </w:pPr>
      <w:r w:rsidRPr="00467662">
        <w:rPr>
          <w:b w:val="0"/>
        </w:rPr>
        <w:t>W</w:t>
      </w:r>
      <w:r w:rsidR="00407677">
        <w:rPr>
          <w:b w:val="0"/>
        </w:rPr>
        <w:t xml:space="preserve">e will compare the </w:t>
      </w:r>
      <w:r w:rsidR="005614E2">
        <w:rPr>
          <w:b w:val="0"/>
        </w:rPr>
        <w:t>digital object identifiers (</w:t>
      </w:r>
      <w:r w:rsidR="00407677">
        <w:rPr>
          <w:b w:val="0"/>
        </w:rPr>
        <w:t>DOIs</w:t>
      </w:r>
      <w:r w:rsidR="005614E2">
        <w:rPr>
          <w:b w:val="0"/>
        </w:rPr>
        <w:t>)</w:t>
      </w:r>
      <w:r w:rsidR="00407677">
        <w:rPr>
          <w:b w:val="0"/>
        </w:rPr>
        <w:t xml:space="preserve"> of outputs submitted to REF 2021 with those of outputs that were submitted to REF 2014.</w:t>
      </w:r>
      <w:r w:rsidR="004735DB">
        <w:rPr>
          <w:b w:val="0"/>
        </w:rPr>
        <w:t xml:space="preserve"> </w:t>
      </w:r>
      <w:r w:rsidR="00AE2EAA">
        <w:rPr>
          <w:b w:val="0"/>
        </w:rPr>
        <w:t xml:space="preserve">Where </w:t>
      </w:r>
      <w:r w:rsidR="00AA5F8D">
        <w:rPr>
          <w:b w:val="0"/>
        </w:rPr>
        <w:t xml:space="preserve">this comparison </w:t>
      </w:r>
      <w:r w:rsidR="009233ED">
        <w:rPr>
          <w:b w:val="0"/>
        </w:rPr>
        <w:t xml:space="preserve">identifies outputs that have been submitted in both exercises, </w:t>
      </w:r>
      <w:r w:rsidR="00AA22E6">
        <w:rPr>
          <w:b w:val="0"/>
        </w:rPr>
        <w:t>further investigation will be undertaken</w:t>
      </w:r>
      <w:r w:rsidR="004A2FEC">
        <w:rPr>
          <w:b w:val="0"/>
        </w:rPr>
        <w:t>.</w:t>
      </w:r>
    </w:p>
    <w:p w14:paraId="0B931CC5" w14:textId="77777777" w:rsidR="004A2FEC" w:rsidRPr="001827BF" w:rsidRDefault="004A2FEC" w:rsidP="00F85F9E">
      <w:pPr>
        <w:pStyle w:val="ListParagraph"/>
        <w:rPr>
          <w:b w:val="0"/>
        </w:rPr>
      </w:pPr>
    </w:p>
    <w:p w14:paraId="25C36AD0" w14:textId="77777777" w:rsidR="004A2FEC" w:rsidRPr="004A2FEC" w:rsidRDefault="004A2FEC" w:rsidP="004A2FEC">
      <w:pPr>
        <w:pStyle w:val="ListParagraph"/>
        <w:numPr>
          <w:ilvl w:val="0"/>
          <w:numId w:val="1"/>
        </w:numPr>
        <w:rPr>
          <w:b w:val="0"/>
        </w:rPr>
      </w:pPr>
      <w:r>
        <w:rPr>
          <w:b w:val="0"/>
        </w:rPr>
        <w:t>As set out in the ‘Guidance on submissions’, o</w:t>
      </w:r>
      <w:r w:rsidRPr="00F85F9E">
        <w:rPr>
          <w:b w:val="0"/>
        </w:rPr>
        <w:t xml:space="preserve">utputs determined to be ineligible through audit will be removed from the submission and an unclassified score added to the profile to account for the ‘missing’ output. Where this involves removing the only output associated with a Category A submitted staff member, the REF team may audit the eligibility of the staff </w:t>
      </w:r>
      <w:proofErr w:type="gramStart"/>
      <w:r w:rsidRPr="00F85F9E">
        <w:rPr>
          <w:b w:val="0"/>
        </w:rPr>
        <w:t>member, and</w:t>
      </w:r>
      <w:proofErr w:type="gramEnd"/>
      <w:r w:rsidRPr="00F85F9E">
        <w:rPr>
          <w:b w:val="0"/>
        </w:rPr>
        <w:t xml:space="preserve"> </w:t>
      </w:r>
      <w:r w:rsidRPr="004A2FEC">
        <w:rPr>
          <w:b w:val="0"/>
        </w:rPr>
        <w:t>review the submitted FTE accordingly.</w:t>
      </w:r>
    </w:p>
    <w:p w14:paraId="54E57EB5" w14:textId="77777777" w:rsidR="00C76066" w:rsidRDefault="00C76066" w:rsidP="002A4B0B">
      <w:pPr>
        <w:pStyle w:val="ListParagraph"/>
        <w:ind w:left="0"/>
        <w:rPr>
          <w:b w:val="0"/>
        </w:rPr>
      </w:pPr>
    </w:p>
    <w:p w14:paraId="033ADB18" w14:textId="5B9A22D6" w:rsidR="00DF2D92" w:rsidRPr="00001D29" w:rsidRDefault="004A0656" w:rsidP="00467662">
      <w:pPr>
        <w:pStyle w:val="ListParagraph"/>
        <w:keepNext/>
        <w:ind w:left="0"/>
        <w:rPr>
          <w:b w:val="0"/>
        </w:rPr>
      </w:pPr>
      <w:r w:rsidRPr="00A65E15">
        <w:rPr>
          <w:szCs w:val="20"/>
        </w:rPr>
        <w:t xml:space="preserve">Open </w:t>
      </w:r>
      <w:r w:rsidR="001A3FCA">
        <w:rPr>
          <w:szCs w:val="20"/>
        </w:rPr>
        <w:t>a</w:t>
      </w:r>
      <w:r w:rsidRPr="00001D29">
        <w:rPr>
          <w:szCs w:val="20"/>
        </w:rPr>
        <w:t>ccess</w:t>
      </w:r>
      <w:r w:rsidR="00DF2D92" w:rsidRPr="00001D29">
        <w:rPr>
          <w:szCs w:val="20"/>
        </w:rPr>
        <w:t xml:space="preserve"> (REF2)</w:t>
      </w:r>
    </w:p>
    <w:p w14:paraId="03F3EC6F" w14:textId="77777777" w:rsidR="00DF2D92" w:rsidRDefault="00DF2D92" w:rsidP="00467662">
      <w:pPr>
        <w:pStyle w:val="ListParagraph"/>
        <w:keepNext/>
        <w:ind w:left="0"/>
        <w:rPr>
          <w:b w:val="0"/>
        </w:rPr>
      </w:pPr>
    </w:p>
    <w:p w14:paraId="3FC20118" w14:textId="5C82616C" w:rsidR="00122F96" w:rsidRPr="0017383B" w:rsidRDefault="0014491B" w:rsidP="00467662">
      <w:pPr>
        <w:pStyle w:val="ListParagraph"/>
        <w:keepLines/>
        <w:numPr>
          <w:ilvl w:val="0"/>
          <w:numId w:val="1"/>
        </w:numPr>
        <w:rPr>
          <w:b w:val="0"/>
        </w:rPr>
      </w:pPr>
      <w:r w:rsidRPr="0017383B">
        <w:rPr>
          <w:b w:val="0"/>
        </w:rPr>
        <w:t xml:space="preserve">HEIs may wish to use online tools such as </w:t>
      </w:r>
      <w:proofErr w:type="spellStart"/>
      <w:r w:rsidR="006F6751" w:rsidRPr="0017383B">
        <w:rPr>
          <w:b w:val="0"/>
        </w:rPr>
        <w:t>J</w:t>
      </w:r>
      <w:r w:rsidR="00EB73B0">
        <w:rPr>
          <w:b w:val="0"/>
        </w:rPr>
        <w:t>isc</w:t>
      </w:r>
      <w:r w:rsidR="006F6751" w:rsidRPr="0017383B">
        <w:rPr>
          <w:b w:val="0"/>
        </w:rPr>
        <w:t>’s</w:t>
      </w:r>
      <w:proofErr w:type="spellEnd"/>
      <w:r w:rsidR="006F6751" w:rsidRPr="0017383B">
        <w:rPr>
          <w:b w:val="0"/>
        </w:rPr>
        <w:t xml:space="preserve"> </w:t>
      </w:r>
      <w:r w:rsidR="00816ECF" w:rsidRPr="007B6E18">
        <w:rPr>
          <w:b w:val="0"/>
        </w:rPr>
        <w:t>Securing a Hybrid Environment for Research Preservation and Access</w:t>
      </w:r>
      <w:r w:rsidR="00816ECF">
        <w:rPr>
          <w:b w:val="0"/>
        </w:rPr>
        <w:t xml:space="preserve"> (</w:t>
      </w:r>
      <w:r w:rsidR="007454C0" w:rsidRPr="0017383B">
        <w:rPr>
          <w:b w:val="0"/>
        </w:rPr>
        <w:t>SHERPA</w:t>
      </w:r>
      <w:r w:rsidR="00816ECF">
        <w:rPr>
          <w:b w:val="0"/>
        </w:rPr>
        <w:t>)</w:t>
      </w:r>
      <w:r w:rsidR="007454C0" w:rsidRPr="0017383B">
        <w:rPr>
          <w:b w:val="0"/>
        </w:rPr>
        <w:t xml:space="preserve"> </w:t>
      </w:r>
      <w:r w:rsidR="00816ECF">
        <w:rPr>
          <w:b w:val="0"/>
        </w:rPr>
        <w:t>services</w:t>
      </w:r>
      <w:r w:rsidR="00816ECF" w:rsidRPr="0017383B">
        <w:rPr>
          <w:b w:val="0"/>
        </w:rPr>
        <w:t xml:space="preserve"> </w:t>
      </w:r>
      <w:r w:rsidR="006F6751" w:rsidRPr="0017383B">
        <w:rPr>
          <w:b w:val="0"/>
        </w:rPr>
        <w:t xml:space="preserve">to </w:t>
      </w:r>
      <w:r w:rsidR="0023712E" w:rsidRPr="0017383B">
        <w:rPr>
          <w:b w:val="0"/>
        </w:rPr>
        <w:t xml:space="preserve">assist them with </w:t>
      </w:r>
      <w:r w:rsidR="006F6751" w:rsidRPr="0017383B">
        <w:rPr>
          <w:b w:val="0"/>
        </w:rPr>
        <w:t>check</w:t>
      </w:r>
      <w:r w:rsidR="00B031ED" w:rsidRPr="0017383B">
        <w:rPr>
          <w:b w:val="0"/>
        </w:rPr>
        <w:t>ing</w:t>
      </w:r>
      <w:r w:rsidR="006F6751" w:rsidRPr="0017383B">
        <w:rPr>
          <w:b w:val="0"/>
        </w:rPr>
        <w:t xml:space="preserve"> </w:t>
      </w:r>
      <w:r w:rsidR="00B031ED" w:rsidRPr="0017383B">
        <w:rPr>
          <w:b w:val="0"/>
        </w:rPr>
        <w:t xml:space="preserve">whether </w:t>
      </w:r>
      <w:r w:rsidR="006B4077" w:rsidRPr="0017383B">
        <w:rPr>
          <w:b w:val="0"/>
        </w:rPr>
        <w:t>journals are generally compliant</w:t>
      </w:r>
      <w:r w:rsidR="00BC76AD" w:rsidRPr="0017383B">
        <w:rPr>
          <w:b w:val="0"/>
        </w:rPr>
        <w:t xml:space="preserve"> with the REF </w:t>
      </w:r>
      <w:r w:rsidR="00666DF2">
        <w:rPr>
          <w:b w:val="0"/>
        </w:rPr>
        <w:t>o</w:t>
      </w:r>
      <w:r w:rsidR="00BC76AD" w:rsidRPr="0017383B">
        <w:rPr>
          <w:b w:val="0"/>
        </w:rPr>
        <w:t xml:space="preserve">pen </w:t>
      </w:r>
      <w:r w:rsidR="00666DF2">
        <w:rPr>
          <w:b w:val="0"/>
        </w:rPr>
        <w:t>a</w:t>
      </w:r>
      <w:r w:rsidR="00BC76AD" w:rsidRPr="0017383B">
        <w:rPr>
          <w:b w:val="0"/>
        </w:rPr>
        <w:t>ccess requirements.</w:t>
      </w:r>
      <w:r w:rsidR="00A07DFA">
        <w:rPr>
          <w:b w:val="0"/>
        </w:rPr>
        <w:t xml:space="preserve"> </w:t>
      </w:r>
      <w:r w:rsidR="00B0008C">
        <w:rPr>
          <w:b w:val="0"/>
        </w:rPr>
        <w:t xml:space="preserve">As described in paragraph 111 of the </w:t>
      </w:r>
      <w:r w:rsidR="00386245">
        <w:rPr>
          <w:b w:val="0"/>
        </w:rPr>
        <w:t>‘</w:t>
      </w:r>
      <w:r w:rsidR="00B0008C" w:rsidRPr="001827BF">
        <w:rPr>
          <w:b w:val="0"/>
          <w:iCs/>
        </w:rPr>
        <w:t xml:space="preserve">Guidance on </w:t>
      </w:r>
      <w:r w:rsidR="00386245">
        <w:rPr>
          <w:b w:val="0"/>
          <w:iCs/>
        </w:rPr>
        <w:t>s</w:t>
      </w:r>
      <w:r w:rsidR="00386245" w:rsidRPr="001827BF">
        <w:rPr>
          <w:b w:val="0"/>
          <w:iCs/>
        </w:rPr>
        <w:t>ubmissions</w:t>
      </w:r>
      <w:r w:rsidR="00386245">
        <w:rPr>
          <w:b w:val="0"/>
          <w:iCs/>
        </w:rPr>
        <w:t>’</w:t>
      </w:r>
      <w:r w:rsidR="00B0008C">
        <w:rPr>
          <w:b w:val="0"/>
        </w:rPr>
        <w:t xml:space="preserve">, </w:t>
      </w:r>
      <w:r w:rsidR="00F9478D">
        <w:rPr>
          <w:b w:val="0"/>
        </w:rPr>
        <w:t xml:space="preserve">where the </w:t>
      </w:r>
      <w:r w:rsidR="00BF1F57">
        <w:rPr>
          <w:b w:val="0"/>
        </w:rPr>
        <w:t xml:space="preserve">information provided in SHERPA indicates that an output </w:t>
      </w:r>
      <w:r w:rsidR="00D03E3E">
        <w:rPr>
          <w:b w:val="0"/>
        </w:rPr>
        <w:t>was published in a journal</w:t>
      </w:r>
      <w:r w:rsidR="00DC424E">
        <w:rPr>
          <w:b w:val="0"/>
        </w:rPr>
        <w:t xml:space="preserve"> whose policies are compatible</w:t>
      </w:r>
      <w:r w:rsidR="00112829">
        <w:rPr>
          <w:b w:val="0"/>
        </w:rPr>
        <w:t xml:space="preserve"> with REF </w:t>
      </w:r>
      <w:r w:rsidR="003B69EA">
        <w:rPr>
          <w:b w:val="0"/>
        </w:rPr>
        <w:t>requirements</w:t>
      </w:r>
      <w:r w:rsidR="00112829">
        <w:rPr>
          <w:b w:val="0"/>
        </w:rPr>
        <w:t xml:space="preserve">, this </w:t>
      </w:r>
      <w:r w:rsidR="00766B22">
        <w:rPr>
          <w:b w:val="0"/>
        </w:rPr>
        <w:t>information will be sufficient to satisfy audit requirements</w:t>
      </w:r>
      <w:r w:rsidR="00B0008C">
        <w:rPr>
          <w:b w:val="0"/>
        </w:rPr>
        <w:t xml:space="preserve">. </w:t>
      </w:r>
      <w:r w:rsidR="00A44493">
        <w:rPr>
          <w:b w:val="0"/>
        </w:rPr>
        <w:t xml:space="preserve">Where this is the case, HEIs </w:t>
      </w:r>
      <w:r w:rsidR="00A44493" w:rsidRPr="0094062A">
        <w:rPr>
          <w:b w:val="0"/>
        </w:rPr>
        <w:t>should not undertake additional work to verify this information.</w:t>
      </w:r>
      <w:r w:rsidR="00A44493">
        <w:rPr>
          <w:b w:val="0"/>
        </w:rPr>
        <w:t xml:space="preserve"> </w:t>
      </w:r>
      <w:r w:rsidR="00A07DFA" w:rsidRPr="00C14771">
        <w:rPr>
          <w:b w:val="0"/>
        </w:rPr>
        <w:t xml:space="preserve">Note that the HEIs should still have processes for checking the </w:t>
      </w:r>
      <w:r w:rsidR="004F499A" w:rsidRPr="00576A62">
        <w:rPr>
          <w:b w:val="0"/>
        </w:rPr>
        <w:t>compliance of individual research outputs that are in-scope of the policy</w:t>
      </w:r>
      <w:r w:rsidR="00576A62">
        <w:rPr>
          <w:b w:val="0"/>
        </w:rPr>
        <w:t xml:space="preserve"> where such outputs do not appear in a journal that </w:t>
      </w:r>
      <w:r w:rsidR="000F06A1">
        <w:rPr>
          <w:b w:val="0"/>
        </w:rPr>
        <w:t>is listed in SHERPA</w:t>
      </w:r>
      <w:r w:rsidR="004F499A">
        <w:rPr>
          <w:b w:val="0"/>
        </w:rPr>
        <w:t>.</w:t>
      </w:r>
    </w:p>
    <w:p w14:paraId="10B0CAFB" w14:textId="77777777" w:rsidR="00496C59" w:rsidRPr="005D243A" w:rsidRDefault="00496C59" w:rsidP="00496C59"/>
    <w:p w14:paraId="6967BE7F" w14:textId="0B7856BE" w:rsidR="00A8503A" w:rsidRDefault="00A8503A" w:rsidP="00496C59">
      <w:pPr>
        <w:pStyle w:val="ListParagraph"/>
        <w:numPr>
          <w:ilvl w:val="0"/>
          <w:numId w:val="1"/>
        </w:numPr>
        <w:rPr>
          <w:b w:val="0"/>
        </w:rPr>
      </w:pPr>
      <w:bookmarkStart w:id="17" w:name="_Ref6230894"/>
      <w:r>
        <w:rPr>
          <w:b w:val="0"/>
        </w:rPr>
        <w:t xml:space="preserve">We will aim to </w:t>
      </w:r>
      <w:r w:rsidR="001A0E70">
        <w:rPr>
          <w:b w:val="0"/>
        </w:rPr>
        <w:t xml:space="preserve">assess compliance with the REF 2021 </w:t>
      </w:r>
      <w:r w:rsidR="00DF3379">
        <w:rPr>
          <w:b w:val="0"/>
        </w:rPr>
        <w:t>o</w:t>
      </w:r>
      <w:r w:rsidR="001A0E70">
        <w:rPr>
          <w:b w:val="0"/>
        </w:rPr>
        <w:t xml:space="preserve">pen </w:t>
      </w:r>
      <w:r w:rsidR="00DF3379">
        <w:rPr>
          <w:b w:val="0"/>
        </w:rPr>
        <w:t>a</w:t>
      </w:r>
      <w:r w:rsidR="001A0E70">
        <w:rPr>
          <w:b w:val="0"/>
        </w:rPr>
        <w:t xml:space="preserve">ccess policy, as described in the following paragraph, </w:t>
      </w:r>
      <w:r w:rsidR="00E72695">
        <w:rPr>
          <w:b w:val="0"/>
        </w:rPr>
        <w:t>in the first quarter of 2021.</w:t>
      </w:r>
      <w:r w:rsidR="004735DB">
        <w:rPr>
          <w:b w:val="0"/>
        </w:rPr>
        <w:t xml:space="preserve"> </w:t>
      </w:r>
      <w:r w:rsidR="00E72695">
        <w:rPr>
          <w:b w:val="0"/>
        </w:rPr>
        <w:t xml:space="preserve">However, HEIs should be aware that open access compliance </w:t>
      </w:r>
      <w:r w:rsidR="00AB340F">
        <w:rPr>
          <w:b w:val="0"/>
        </w:rPr>
        <w:t>can be audited at any time during the assessment period (</w:t>
      </w:r>
      <w:r w:rsidR="0017604F">
        <w:rPr>
          <w:b w:val="0"/>
        </w:rPr>
        <w:t xml:space="preserve">for example, </w:t>
      </w:r>
      <w:r w:rsidR="00AB340F">
        <w:rPr>
          <w:b w:val="0"/>
        </w:rPr>
        <w:t>as a result of a panel-instigated audit).</w:t>
      </w:r>
      <w:r w:rsidR="004735DB">
        <w:rPr>
          <w:b w:val="0"/>
        </w:rPr>
        <w:t xml:space="preserve"> </w:t>
      </w:r>
      <w:r w:rsidR="00883525">
        <w:rPr>
          <w:b w:val="0"/>
        </w:rPr>
        <w:t xml:space="preserve">Where outputs are individually queried, outside the </w:t>
      </w:r>
      <w:r w:rsidR="00FD682F">
        <w:rPr>
          <w:b w:val="0"/>
        </w:rPr>
        <w:t xml:space="preserve">risk-based process described in the following paragraph, </w:t>
      </w:r>
      <w:r w:rsidR="0017097C">
        <w:rPr>
          <w:b w:val="0"/>
        </w:rPr>
        <w:t>they will be treated as sample</w:t>
      </w:r>
      <w:r w:rsidR="00021AD4">
        <w:rPr>
          <w:b w:val="0"/>
        </w:rPr>
        <w:t xml:space="preserve">d outputs according to the processes described in paragraph </w:t>
      </w:r>
      <w:r w:rsidR="00827719">
        <w:rPr>
          <w:b w:val="0"/>
        </w:rPr>
        <w:fldChar w:fldCharType="begin"/>
      </w:r>
      <w:r w:rsidR="00827719">
        <w:rPr>
          <w:b w:val="0"/>
        </w:rPr>
        <w:instrText xml:space="preserve"> REF _Ref10620348 \r \h </w:instrText>
      </w:r>
      <w:r w:rsidR="00827719">
        <w:rPr>
          <w:b w:val="0"/>
        </w:rPr>
      </w:r>
      <w:r w:rsidR="00827719">
        <w:rPr>
          <w:b w:val="0"/>
        </w:rPr>
        <w:fldChar w:fldCharType="separate"/>
      </w:r>
      <w:r w:rsidR="00FE72ED">
        <w:rPr>
          <w:b w:val="0"/>
        </w:rPr>
        <w:t>50</w:t>
      </w:r>
      <w:r w:rsidR="00827719">
        <w:rPr>
          <w:b w:val="0"/>
        </w:rPr>
        <w:fldChar w:fldCharType="end"/>
      </w:r>
      <w:r w:rsidR="00827719">
        <w:rPr>
          <w:b w:val="0"/>
        </w:rPr>
        <w:t xml:space="preserve"> and following.</w:t>
      </w:r>
    </w:p>
    <w:p w14:paraId="4C03FAA2" w14:textId="77777777" w:rsidR="00A8503A" w:rsidRPr="008D71BD" w:rsidRDefault="00A8503A" w:rsidP="004322FC">
      <w:pPr>
        <w:pStyle w:val="ListParagraph"/>
        <w:rPr>
          <w:b w:val="0"/>
        </w:rPr>
      </w:pPr>
    </w:p>
    <w:p w14:paraId="4FB2F34A" w14:textId="58F601CA" w:rsidR="00496C59" w:rsidRDefault="00496C59" w:rsidP="004322FC">
      <w:pPr>
        <w:pStyle w:val="ListParagraph"/>
        <w:keepNext/>
        <w:numPr>
          <w:ilvl w:val="0"/>
          <w:numId w:val="1"/>
        </w:numPr>
        <w:rPr>
          <w:b w:val="0"/>
        </w:rPr>
      </w:pPr>
      <w:bookmarkStart w:id="18" w:name="_Ref10557543"/>
      <w:r>
        <w:rPr>
          <w:b w:val="0"/>
        </w:rPr>
        <w:t xml:space="preserve">We will assess </w:t>
      </w:r>
      <w:r w:rsidR="001625F9">
        <w:rPr>
          <w:b w:val="0"/>
        </w:rPr>
        <w:t xml:space="preserve">each </w:t>
      </w:r>
      <w:r>
        <w:rPr>
          <w:b w:val="0"/>
        </w:rPr>
        <w:t xml:space="preserve">HEIs’ overall compliance with </w:t>
      </w:r>
      <w:r w:rsidR="5A8DC87D">
        <w:rPr>
          <w:b w:val="0"/>
        </w:rPr>
        <w:t>t</w:t>
      </w:r>
      <w:r w:rsidR="5386ED2F">
        <w:rPr>
          <w:b w:val="0"/>
        </w:rPr>
        <w:t xml:space="preserve">he REF 2021 </w:t>
      </w:r>
      <w:r w:rsidR="001625F9">
        <w:rPr>
          <w:b w:val="0"/>
        </w:rPr>
        <w:t>o</w:t>
      </w:r>
      <w:r w:rsidR="5A8DC87D">
        <w:rPr>
          <w:b w:val="0"/>
        </w:rPr>
        <w:t xml:space="preserve">pen </w:t>
      </w:r>
      <w:r w:rsidR="001625F9">
        <w:rPr>
          <w:b w:val="0"/>
        </w:rPr>
        <w:t>a</w:t>
      </w:r>
      <w:r w:rsidR="5A8DC87D">
        <w:rPr>
          <w:b w:val="0"/>
        </w:rPr>
        <w:t xml:space="preserve">ccess </w:t>
      </w:r>
      <w:r w:rsidR="5386ED2F">
        <w:rPr>
          <w:b w:val="0"/>
        </w:rPr>
        <w:t>policy</w:t>
      </w:r>
      <w:r>
        <w:rPr>
          <w:b w:val="0"/>
        </w:rPr>
        <w:t xml:space="preserve"> by:</w:t>
      </w:r>
      <w:bookmarkEnd w:id="17"/>
      <w:bookmarkEnd w:id="18"/>
    </w:p>
    <w:p w14:paraId="1F2C40F1" w14:textId="77777777" w:rsidR="00496C59" w:rsidRPr="00F630E0" w:rsidRDefault="00496C59" w:rsidP="00496C59">
      <w:pPr>
        <w:pStyle w:val="ListParagraph"/>
        <w:rPr>
          <w:b w:val="0"/>
        </w:rPr>
      </w:pPr>
    </w:p>
    <w:p w14:paraId="7FC415F8" w14:textId="77777777" w:rsidR="00496C59" w:rsidRDefault="00496C59" w:rsidP="00496C59">
      <w:pPr>
        <w:pStyle w:val="ListParagraph"/>
        <w:numPr>
          <w:ilvl w:val="1"/>
          <w:numId w:val="1"/>
        </w:numPr>
        <w:rPr>
          <w:b w:val="0"/>
        </w:rPr>
      </w:pPr>
      <w:r>
        <w:rPr>
          <w:b w:val="0"/>
        </w:rPr>
        <w:t xml:space="preserve">Identifying where </w:t>
      </w:r>
      <w:r w:rsidR="00AF36C2">
        <w:rPr>
          <w:b w:val="0"/>
        </w:rPr>
        <w:t xml:space="preserve">more </w:t>
      </w:r>
      <w:r>
        <w:rPr>
          <w:b w:val="0"/>
        </w:rPr>
        <w:t>than</w:t>
      </w:r>
      <w:r w:rsidR="00F649D6">
        <w:rPr>
          <w:b w:val="0"/>
        </w:rPr>
        <w:t xml:space="preserve"> one, and more than</w:t>
      </w:r>
      <w:r>
        <w:rPr>
          <w:b w:val="0"/>
        </w:rPr>
        <w:t xml:space="preserve"> 5%</w:t>
      </w:r>
      <w:r w:rsidR="00F649D6">
        <w:rPr>
          <w:b w:val="0"/>
        </w:rPr>
        <w:t>, of</w:t>
      </w:r>
      <w:r>
        <w:rPr>
          <w:b w:val="0"/>
        </w:rPr>
        <w:t xml:space="preserve"> </w:t>
      </w:r>
      <w:r w:rsidR="00226688">
        <w:rPr>
          <w:b w:val="0"/>
        </w:rPr>
        <w:t xml:space="preserve">in-scope </w:t>
      </w:r>
      <w:r>
        <w:rPr>
          <w:b w:val="0"/>
        </w:rPr>
        <w:t xml:space="preserve">outputs are </w:t>
      </w:r>
      <w:r w:rsidR="006045E8">
        <w:rPr>
          <w:b w:val="0"/>
        </w:rPr>
        <w:t xml:space="preserve">not </w:t>
      </w:r>
      <w:r>
        <w:rPr>
          <w:b w:val="0"/>
        </w:rPr>
        <w:t>compliant</w:t>
      </w:r>
      <w:r w:rsidR="00E217B1">
        <w:rPr>
          <w:b w:val="0"/>
        </w:rPr>
        <w:t xml:space="preserve"> with the REF open access policy</w:t>
      </w:r>
      <w:r>
        <w:rPr>
          <w:b w:val="0"/>
        </w:rPr>
        <w:t xml:space="preserve"> and</w:t>
      </w:r>
      <w:r w:rsidR="006045E8">
        <w:rPr>
          <w:b w:val="0"/>
        </w:rPr>
        <w:t xml:space="preserve"> are</w:t>
      </w:r>
      <w:r>
        <w:rPr>
          <w:b w:val="0"/>
        </w:rPr>
        <w:t xml:space="preserve"> </w:t>
      </w:r>
      <w:r w:rsidR="00E217B1">
        <w:rPr>
          <w:b w:val="0"/>
        </w:rPr>
        <w:t xml:space="preserve">not </w:t>
      </w:r>
      <w:r>
        <w:rPr>
          <w:b w:val="0"/>
        </w:rPr>
        <w:t>using an exception.</w:t>
      </w:r>
      <w:r w:rsidR="004735DB">
        <w:rPr>
          <w:b w:val="0"/>
        </w:rPr>
        <w:t xml:space="preserve"> </w:t>
      </w:r>
      <w:r w:rsidR="00943E18">
        <w:rPr>
          <w:b w:val="0"/>
        </w:rPr>
        <w:t xml:space="preserve">This will be based on </w:t>
      </w:r>
      <w:r w:rsidR="008330A7">
        <w:rPr>
          <w:b w:val="0"/>
        </w:rPr>
        <w:t xml:space="preserve">the data in the </w:t>
      </w:r>
      <w:r w:rsidR="00983C32">
        <w:rPr>
          <w:b w:val="0"/>
          <w:i/>
        </w:rPr>
        <w:t>Open access</w:t>
      </w:r>
      <w:r w:rsidR="00983C32">
        <w:rPr>
          <w:b w:val="0"/>
        </w:rPr>
        <w:t xml:space="preserve"> field in the REF2 submission data.</w:t>
      </w:r>
    </w:p>
    <w:p w14:paraId="208BC2AE" w14:textId="77777777" w:rsidR="00CE1F91" w:rsidRDefault="00CE1F91" w:rsidP="00001D29">
      <w:pPr>
        <w:pStyle w:val="ListParagraph"/>
        <w:ind w:left="567"/>
        <w:rPr>
          <w:b w:val="0"/>
        </w:rPr>
      </w:pPr>
    </w:p>
    <w:p w14:paraId="2CB86328" w14:textId="31E1C7AA" w:rsidR="00496C59" w:rsidRDefault="00496C59" w:rsidP="00496C59">
      <w:pPr>
        <w:pStyle w:val="ListParagraph"/>
        <w:numPr>
          <w:ilvl w:val="1"/>
          <w:numId w:val="1"/>
        </w:numPr>
        <w:rPr>
          <w:b w:val="0"/>
        </w:rPr>
      </w:pPr>
      <w:bookmarkStart w:id="19" w:name="_Ref10620585"/>
      <w:r>
        <w:rPr>
          <w:b w:val="0"/>
        </w:rPr>
        <w:t xml:space="preserve">Taking a risk-based approach to </w:t>
      </w:r>
      <w:r w:rsidR="00303BEF">
        <w:rPr>
          <w:b w:val="0"/>
        </w:rPr>
        <w:t>o</w:t>
      </w:r>
      <w:r>
        <w:rPr>
          <w:b w:val="0"/>
        </w:rPr>
        <w:t xml:space="preserve">pen </w:t>
      </w:r>
      <w:r w:rsidR="00303BEF">
        <w:rPr>
          <w:b w:val="0"/>
        </w:rPr>
        <w:t>a</w:t>
      </w:r>
      <w:r>
        <w:rPr>
          <w:b w:val="0"/>
        </w:rPr>
        <w:t>ccess compliance</w:t>
      </w:r>
      <w:r w:rsidR="00550AE9">
        <w:rPr>
          <w:b w:val="0"/>
        </w:rPr>
        <w:t xml:space="preserve">. The risk </w:t>
      </w:r>
      <w:r w:rsidR="003F0052">
        <w:rPr>
          <w:b w:val="0"/>
        </w:rPr>
        <w:t>identification</w:t>
      </w:r>
      <w:r w:rsidR="00550AE9">
        <w:rPr>
          <w:b w:val="0"/>
        </w:rPr>
        <w:t xml:space="preserve"> does not itself form part of the </w:t>
      </w:r>
      <w:proofErr w:type="gramStart"/>
      <w:r w:rsidR="00550AE9">
        <w:rPr>
          <w:b w:val="0"/>
        </w:rPr>
        <w:t>audit, but</w:t>
      </w:r>
      <w:proofErr w:type="gramEnd"/>
      <w:r w:rsidR="00550AE9">
        <w:rPr>
          <w:b w:val="0"/>
        </w:rPr>
        <w:t xml:space="preserve"> </w:t>
      </w:r>
      <w:r w:rsidR="003F0052">
        <w:rPr>
          <w:b w:val="0"/>
        </w:rPr>
        <w:t>will</w:t>
      </w:r>
      <w:r w:rsidR="00550AE9">
        <w:rPr>
          <w:b w:val="0"/>
        </w:rPr>
        <w:t xml:space="preserve"> </w:t>
      </w:r>
      <w:r w:rsidR="003F0052">
        <w:rPr>
          <w:b w:val="0"/>
        </w:rPr>
        <w:t xml:space="preserve">be </w:t>
      </w:r>
      <w:r w:rsidR="00550AE9">
        <w:rPr>
          <w:b w:val="0"/>
        </w:rPr>
        <w:t xml:space="preserve">used </w:t>
      </w:r>
      <w:r w:rsidR="003F0052">
        <w:rPr>
          <w:b w:val="0"/>
        </w:rPr>
        <w:t xml:space="preserve">to </w:t>
      </w:r>
      <w:r w:rsidR="008E10B2">
        <w:rPr>
          <w:b w:val="0"/>
        </w:rPr>
        <w:t>inform the selection of HEIs and submissions</w:t>
      </w:r>
      <w:r w:rsidR="003D0E6D">
        <w:rPr>
          <w:b w:val="0"/>
        </w:rPr>
        <w:t xml:space="preserve"> for possible audit review</w:t>
      </w:r>
      <w:r w:rsidR="00C50BFE">
        <w:rPr>
          <w:b w:val="0"/>
        </w:rPr>
        <w:t>. W</w:t>
      </w:r>
      <w:r>
        <w:rPr>
          <w:b w:val="0"/>
        </w:rPr>
        <w:t>e will rank</w:t>
      </w:r>
      <w:r w:rsidR="00331668">
        <w:rPr>
          <w:rStyle w:val="FootnoteReference"/>
          <w:b w:val="0"/>
        </w:rPr>
        <w:footnoteReference w:id="7"/>
      </w:r>
      <w:r>
        <w:rPr>
          <w:b w:val="0"/>
        </w:rPr>
        <w:t xml:space="preserve"> HEIs by:</w:t>
      </w:r>
      <w:bookmarkEnd w:id="19"/>
    </w:p>
    <w:p w14:paraId="38C0B61F" w14:textId="77777777" w:rsidR="00F809FB" w:rsidRDefault="00F809FB" w:rsidP="00001D29">
      <w:pPr>
        <w:pStyle w:val="ListParagraph"/>
        <w:ind w:left="567"/>
        <w:rPr>
          <w:b w:val="0"/>
        </w:rPr>
      </w:pPr>
    </w:p>
    <w:p w14:paraId="54178CC4" w14:textId="3C0EEC7D" w:rsidR="00496C59" w:rsidRDefault="008B3D01" w:rsidP="00496C59">
      <w:pPr>
        <w:pStyle w:val="ListParagraph"/>
        <w:numPr>
          <w:ilvl w:val="2"/>
          <w:numId w:val="1"/>
        </w:numPr>
        <w:rPr>
          <w:b w:val="0"/>
        </w:rPr>
      </w:pPr>
      <w:r>
        <w:rPr>
          <w:b w:val="0"/>
        </w:rPr>
        <w:lastRenderedPageBreak/>
        <w:t>T</w:t>
      </w:r>
      <w:r w:rsidR="00496C59" w:rsidRPr="00212053">
        <w:rPr>
          <w:b w:val="0"/>
        </w:rPr>
        <w:t xml:space="preserve">he number of </w:t>
      </w:r>
      <w:r w:rsidR="005A77BD">
        <w:rPr>
          <w:b w:val="0"/>
        </w:rPr>
        <w:t>‘</w:t>
      </w:r>
      <w:r w:rsidR="008D4255" w:rsidRPr="00212053">
        <w:rPr>
          <w:b w:val="0"/>
        </w:rPr>
        <w:t>other</w:t>
      </w:r>
      <w:r w:rsidR="005A77BD">
        <w:rPr>
          <w:b w:val="0"/>
        </w:rPr>
        <w:t>’</w:t>
      </w:r>
      <w:r w:rsidR="008D4255" w:rsidRPr="00212053">
        <w:rPr>
          <w:b w:val="0"/>
        </w:rPr>
        <w:t xml:space="preserve"> </w:t>
      </w:r>
      <w:r w:rsidR="00496C59" w:rsidRPr="00212053">
        <w:rPr>
          <w:b w:val="0"/>
        </w:rPr>
        <w:t xml:space="preserve">exceptions used (a higher proportion of </w:t>
      </w:r>
      <w:r w:rsidR="005A77BD">
        <w:rPr>
          <w:b w:val="0"/>
        </w:rPr>
        <w:t>‘</w:t>
      </w:r>
      <w:r w:rsidR="008D4255">
        <w:rPr>
          <w:b w:val="0"/>
        </w:rPr>
        <w:t>other</w:t>
      </w:r>
      <w:r w:rsidR="005A77BD">
        <w:rPr>
          <w:b w:val="0"/>
        </w:rPr>
        <w:t>’</w:t>
      </w:r>
      <w:r w:rsidR="008D4255">
        <w:rPr>
          <w:b w:val="0"/>
        </w:rPr>
        <w:t xml:space="preserve"> </w:t>
      </w:r>
      <w:r w:rsidR="00496C59" w:rsidRPr="00212053">
        <w:rPr>
          <w:b w:val="0"/>
        </w:rPr>
        <w:t>exceptions will lead to a higher risk score)</w:t>
      </w:r>
      <w:r w:rsidR="008C111E">
        <w:rPr>
          <w:b w:val="0"/>
        </w:rPr>
        <w:t>.</w:t>
      </w:r>
      <w:r w:rsidR="004735DB">
        <w:rPr>
          <w:b w:val="0"/>
        </w:rPr>
        <w:t xml:space="preserve"> </w:t>
      </w:r>
      <w:r w:rsidR="008C111E">
        <w:rPr>
          <w:b w:val="0"/>
        </w:rPr>
        <w:t>Not</w:t>
      </w:r>
      <w:r w:rsidR="00D31938">
        <w:rPr>
          <w:b w:val="0"/>
        </w:rPr>
        <w:t>e</w:t>
      </w:r>
      <w:r w:rsidR="008C111E">
        <w:rPr>
          <w:b w:val="0"/>
        </w:rPr>
        <w:t xml:space="preserve"> that use of </w:t>
      </w:r>
      <w:r w:rsidR="00303BEF">
        <w:rPr>
          <w:b w:val="0"/>
        </w:rPr>
        <w:t>‘</w:t>
      </w:r>
      <w:r w:rsidR="009E57D5">
        <w:rPr>
          <w:b w:val="0"/>
        </w:rPr>
        <w:t>deposit</w:t>
      </w:r>
      <w:r w:rsidR="00303BEF">
        <w:rPr>
          <w:b w:val="0"/>
        </w:rPr>
        <w:t>’</w:t>
      </w:r>
      <w:r w:rsidR="009E57D5">
        <w:rPr>
          <w:b w:val="0"/>
        </w:rPr>
        <w:t xml:space="preserve">, </w:t>
      </w:r>
      <w:r w:rsidR="00303BEF">
        <w:rPr>
          <w:b w:val="0"/>
        </w:rPr>
        <w:t>‘</w:t>
      </w:r>
      <w:r w:rsidR="009E57D5">
        <w:rPr>
          <w:b w:val="0"/>
        </w:rPr>
        <w:t>access</w:t>
      </w:r>
      <w:r w:rsidR="00303BEF">
        <w:rPr>
          <w:b w:val="0"/>
        </w:rPr>
        <w:t>’</w:t>
      </w:r>
      <w:r w:rsidR="009E57D5">
        <w:rPr>
          <w:b w:val="0"/>
        </w:rPr>
        <w:t xml:space="preserve"> or </w:t>
      </w:r>
      <w:r w:rsidR="00303BEF">
        <w:rPr>
          <w:b w:val="0"/>
        </w:rPr>
        <w:t>‘</w:t>
      </w:r>
      <w:r w:rsidR="009E57D5">
        <w:rPr>
          <w:b w:val="0"/>
        </w:rPr>
        <w:t>technical</w:t>
      </w:r>
      <w:r w:rsidR="00303BEF">
        <w:rPr>
          <w:b w:val="0"/>
        </w:rPr>
        <w:t>’</w:t>
      </w:r>
      <w:r w:rsidR="009E57D5">
        <w:rPr>
          <w:b w:val="0"/>
        </w:rPr>
        <w:t xml:space="preserve"> exceptions, or the use of the </w:t>
      </w:r>
      <w:r w:rsidR="00A95C6C">
        <w:rPr>
          <w:b w:val="0"/>
        </w:rPr>
        <w:t>exception for deposit within three months of publication</w:t>
      </w:r>
      <w:r w:rsidR="00CB1DB2">
        <w:rPr>
          <w:b w:val="0"/>
        </w:rPr>
        <w:t xml:space="preserve">, will </w:t>
      </w:r>
      <w:r w:rsidR="00CB1DB2" w:rsidRPr="001827BF">
        <w:rPr>
          <w:b w:val="0"/>
          <w:iCs/>
        </w:rPr>
        <w:t>not</w:t>
      </w:r>
      <w:r w:rsidR="00CB1DB2">
        <w:rPr>
          <w:b w:val="0"/>
        </w:rPr>
        <w:t xml:space="preserve"> affect the risk score </w:t>
      </w:r>
      <w:r w:rsidR="00383E44">
        <w:rPr>
          <w:b w:val="0"/>
        </w:rPr>
        <w:t>irrespective of</w:t>
      </w:r>
      <w:r w:rsidR="00CB1DB2">
        <w:rPr>
          <w:b w:val="0"/>
        </w:rPr>
        <w:t xml:space="preserve"> how many times these exceptions are used.</w:t>
      </w:r>
    </w:p>
    <w:p w14:paraId="26801C50" w14:textId="77777777" w:rsidR="00F809FB" w:rsidRPr="00F5356E" w:rsidRDefault="00F809FB" w:rsidP="00001D29">
      <w:pPr>
        <w:pStyle w:val="ListParagraph"/>
        <w:ind w:left="1134"/>
        <w:rPr>
          <w:b w:val="0"/>
        </w:rPr>
      </w:pPr>
    </w:p>
    <w:p w14:paraId="1BCAEC20" w14:textId="77777777" w:rsidR="00496C59" w:rsidRDefault="00496C59" w:rsidP="00496C59">
      <w:pPr>
        <w:pStyle w:val="ListParagraph"/>
        <w:numPr>
          <w:ilvl w:val="2"/>
          <w:numId w:val="1"/>
        </w:numPr>
        <w:rPr>
          <w:b w:val="0"/>
        </w:rPr>
      </w:pPr>
      <w:r>
        <w:rPr>
          <w:b w:val="0"/>
        </w:rPr>
        <w:t xml:space="preserve">Using </w:t>
      </w:r>
      <w:r w:rsidRPr="00107983">
        <w:rPr>
          <w:b w:val="0"/>
          <w:i/>
        </w:rPr>
        <w:t>unpaywall.org</w:t>
      </w:r>
      <w:r>
        <w:rPr>
          <w:b w:val="0"/>
        </w:rPr>
        <w:t xml:space="preserve"> to establish whether </w:t>
      </w:r>
      <w:r w:rsidR="008B1A08" w:rsidRPr="008B1A08">
        <w:rPr>
          <w:b w:val="0"/>
        </w:rPr>
        <w:t>there is an OA copy of th</w:t>
      </w:r>
      <w:r w:rsidR="008B1A08">
        <w:rPr>
          <w:b w:val="0"/>
        </w:rPr>
        <w:t>e output</w:t>
      </w:r>
      <w:r w:rsidR="00DF0C10">
        <w:rPr>
          <w:b w:val="0"/>
        </w:rPr>
        <w:t xml:space="preserve"> (based on the </w:t>
      </w:r>
      <w:proofErr w:type="spellStart"/>
      <w:r w:rsidR="00DF0C10">
        <w:t>is_oa</w:t>
      </w:r>
      <w:proofErr w:type="spellEnd"/>
      <w:r w:rsidR="00DF0C10">
        <w:rPr>
          <w:b w:val="0"/>
        </w:rPr>
        <w:t xml:space="preserve"> field)</w:t>
      </w:r>
      <w:r>
        <w:rPr>
          <w:b w:val="0"/>
        </w:rPr>
        <w:t>.</w:t>
      </w:r>
    </w:p>
    <w:p w14:paraId="52D150E7" w14:textId="77777777" w:rsidR="00F809FB" w:rsidRDefault="00F809FB" w:rsidP="00001D29">
      <w:pPr>
        <w:pStyle w:val="ListParagraph"/>
        <w:ind w:left="1134"/>
        <w:rPr>
          <w:b w:val="0"/>
        </w:rPr>
      </w:pPr>
    </w:p>
    <w:p w14:paraId="4319A07C" w14:textId="77777777" w:rsidR="008B3D01" w:rsidRDefault="00496C59" w:rsidP="00496C59">
      <w:pPr>
        <w:pStyle w:val="ListParagraph"/>
        <w:numPr>
          <w:ilvl w:val="2"/>
          <w:numId w:val="1"/>
        </w:numPr>
        <w:rPr>
          <w:b w:val="0"/>
        </w:rPr>
      </w:pPr>
      <w:r>
        <w:rPr>
          <w:b w:val="0"/>
        </w:rPr>
        <w:t xml:space="preserve">Using </w:t>
      </w:r>
      <w:r w:rsidRPr="00BA7CC3">
        <w:rPr>
          <w:b w:val="0"/>
          <w:i/>
        </w:rPr>
        <w:t>unpaywall.org</w:t>
      </w:r>
      <w:r>
        <w:rPr>
          <w:b w:val="0"/>
        </w:rPr>
        <w:t xml:space="preserve"> to establish whether the output is a file with searchable text</w:t>
      </w:r>
      <w:r w:rsidR="00A105EA">
        <w:rPr>
          <w:b w:val="0"/>
        </w:rPr>
        <w:t xml:space="preserve"> (based on the </w:t>
      </w:r>
      <w:proofErr w:type="spellStart"/>
      <w:r w:rsidR="00A105EA">
        <w:t>url_for_pdf</w:t>
      </w:r>
      <w:proofErr w:type="spellEnd"/>
      <w:r w:rsidR="00A105EA">
        <w:rPr>
          <w:b w:val="0"/>
        </w:rPr>
        <w:t xml:space="preserve"> field)</w:t>
      </w:r>
      <w:r w:rsidR="008B3D01">
        <w:rPr>
          <w:b w:val="0"/>
        </w:rPr>
        <w:t>.</w:t>
      </w:r>
    </w:p>
    <w:p w14:paraId="492E8478" w14:textId="77777777" w:rsidR="00496C59" w:rsidRDefault="00496C59" w:rsidP="00001D29">
      <w:pPr>
        <w:pStyle w:val="ListParagraph"/>
        <w:ind w:left="1134"/>
        <w:rPr>
          <w:b w:val="0"/>
        </w:rPr>
      </w:pPr>
    </w:p>
    <w:p w14:paraId="189CDE1E" w14:textId="18B72DA2" w:rsidR="00545A69" w:rsidRDefault="003D5555" w:rsidP="00496C59">
      <w:pPr>
        <w:pStyle w:val="ListParagraph"/>
        <w:numPr>
          <w:ilvl w:val="2"/>
          <w:numId w:val="1"/>
        </w:numPr>
        <w:rPr>
          <w:b w:val="0"/>
        </w:rPr>
      </w:pPr>
      <w:r>
        <w:rPr>
          <w:b w:val="0"/>
        </w:rPr>
        <w:t>Using J</w:t>
      </w:r>
      <w:r w:rsidR="008B3D01">
        <w:rPr>
          <w:b w:val="0"/>
        </w:rPr>
        <w:t>isc</w:t>
      </w:r>
      <w:r>
        <w:rPr>
          <w:b w:val="0"/>
        </w:rPr>
        <w:t xml:space="preserve"> CORE, comparing the </w:t>
      </w:r>
      <w:proofErr w:type="spellStart"/>
      <w:r w:rsidR="00CE6A38" w:rsidRPr="0017383B">
        <w:t>datePublished</w:t>
      </w:r>
      <w:proofErr w:type="spellEnd"/>
      <w:r w:rsidR="00CE6A38" w:rsidRPr="00CE6A38">
        <w:rPr>
          <w:b w:val="0"/>
        </w:rPr>
        <w:t xml:space="preserve"> and </w:t>
      </w:r>
      <w:proofErr w:type="spellStart"/>
      <w:r w:rsidR="00CE6A38" w:rsidRPr="0017383B">
        <w:t>depositedDate</w:t>
      </w:r>
      <w:proofErr w:type="spellEnd"/>
      <w:r w:rsidR="00CE6A38">
        <w:rPr>
          <w:b w:val="0"/>
        </w:rPr>
        <w:t xml:space="preserve"> and </w:t>
      </w:r>
      <w:r w:rsidR="006C212E">
        <w:rPr>
          <w:b w:val="0"/>
        </w:rPr>
        <w:t xml:space="preserve">identifying where the number of days between the two dates is greater than </w:t>
      </w:r>
      <w:r w:rsidR="003338DD">
        <w:rPr>
          <w:b w:val="0"/>
        </w:rPr>
        <w:t>92.</w:t>
      </w:r>
    </w:p>
    <w:p w14:paraId="5501D54D" w14:textId="77777777" w:rsidR="00496C59" w:rsidRPr="00F630E0" w:rsidRDefault="00496C59" w:rsidP="00496C59"/>
    <w:p w14:paraId="4260D1D9" w14:textId="302B043A" w:rsidR="00496C59" w:rsidRDefault="00496C59" w:rsidP="00496C59">
      <w:pPr>
        <w:pStyle w:val="ListParagraph"/>
        <w:numPr>
          <w:ilvl w:val="0"/>
          <w:numId w:val="1"/>
        </w:numPr>
        <w:rPr>
          <w:b w:val="0"/>
        </w:rPr>
      </w:pPr>
      <w:r>
        <w:rPr>
          <w:b w:val="0"/>
        </w:rPr>
        <w:t xml:space="preserve">Where HEIs receive a </w:t>
      </w:r>
      <w:proofErr w:type="gramStart"/>
      <w:r>
        <w:rPr>
          <w:b w:val="0"/>
        </w:rPr>
        <w:t>high risk</w:t>
      </w:r>
      <w:proofErr w:type="gramEnd"/>
      <w:r>
        <w:rPr>
          <w:b w:val="0"/>
        </w:rPr>
        <w:t xml:space="preserve"> score, we will request documentation of their process for managing </w:t>
      </w:r>
      <w:r w:rsidR="00436A7C">
        <w:rPr>
          <w:b w:val="0"/>
        </w:rPr>
        <w:t>o</w:t>
      </w:r>
      <w:r>
        <w:rPr>
          <w:b w:val="0"/>
        </w:rPr>
        <w:t xml:space="preserve">pen </w:t>
      </w:r>
      <w:r w:rsidR="00436A7C">
        <w:rPr>
          <w:b w:val="0"/>
        </w:rPr>
        <w:t>a</w:t>
      </w:r>
      <w:r>
        <w:rPr>
          <w:b w:val="0"/>
        </w:rPr>
        <w:t xml:space="preserve">ccess and evidence that they are managing </w:t>
      </w:r>
      <w:r w:rsidR="00597A2D">
        <w:rPr>
          <w:b w:val="0"/>
        </w:rPr>
        <w:t xml:space="preserve">compliance with the REF </w:t>
      </w:r>
      <w:r w:rsidR="00046555">
        <w:rPr>
          <w:b w:val="0"/>
        </w:rPr>
        <w:t xml:space="preserve">2021 </w:t>
      </w:r>
      <w:r w:rsidR="00436A7C">
        <w:rPr>
          <w:b w:val="0"/>
        </w:rPr>
        <w:t>o</w:t>
      </w:r>
      <w:r w:rsidR="00597A2D">
        <w:rPr>
          <w:b w:val="0"/>
        </w:rPr>
        <w:t xml:space="preserve">pen </w:t>
      </w:r>
      <w:r w:rsidR="00436A7C">
        <w:rPr>
          <w:b w:val="0"/>
        </w:rPr>
        <w:t>a</w:t>
      </w:r>
      <w:r w:rsidR="00597A2D">
        <w:rPr>
          <w:b w:val="0"/>
        </w:rPr>
        <w:t>ccess policy</w:t>
      </w:r>
      <w:r>
        <w:rPr>
          <w:b w:val="0"/>
        </w:rPr>
        <w:t xml:space="preserve"> effectively.</w:t>
      </w:r>
      <w:r w:rsidR="004735DB">
        <w:rPr>
          <w:b w:val="0"/>
        </w:rPr>
        <w:t xml:space="preserve"> </w:t>
      </w:r>
      <w:r w:rsidR="003F27BA">
        <w:rPr>
          <w:b w:val="0"/>
        </w:rPr>
        <w:t xml:space="preserve">The audit will focus specifically on </w:t>
      </w:r>
      <w:r w:rsidR="00223261">
        <w:rPr>
          <w:b w:val="0"/>
        </w:rPr>
        <w:t xml:space="preserve">those parts of the process that determine compliance with the REF 2021 </w:t>
      </w:r>
      <w:r w:rsidR="00436A7C">
        <w:rPr>
          <w:b w:val="0"/>
        </w:rPr>
        <w:t>o</w:t>
      </w:r>
      <w:r w:rsidR="00223261">
        <w:rPr>
          <w:b w:val="0"/>
        </w:rPr>
        <w:t xml:space="preserve">pen </w:t>
      </w:r>
      <w:r w:rsidR="00436A7C">
        <w:rPr>
          <w:b w:val="0"/>
        </w:rPr>
        <w:t>a</w:t>
      </w:r>
      <w:r w:rsidR="00223261">
        <w:rPr>
          <w:b w:val="0"/>
        </w:rPr>
        <w:t xml:space="preserve">ccess policy, </w:t>
      </w:r>
      <w:r w:rsidR="00C74D9F">
        <w:rPr>
          <w:b w:val="0"/>
        </w:rPr>
        <w:t xml:space="preserve">rather than management of </w:t>
      </w:r>
      <w:r w:rsidR="00436A7C">
        <w:rPr>
          <w:b w:val="0"/>
        </w:rPr>
        <w:t>o</w:t>
      </w:r>
      <w:r w:rsidR="00C74D9F">
        <w:rPr>
          <w:b w:val="0"/>
        </w:rPr>
        <w:t xml:space="preserve">pen </w:t>
      </w:r>
      <w:r w:rsidR="00436A7C">
        <w:rPr>
          <w:b w:val="0"/>
        </w:rPr>
        <w:t>a</w:t>
      </w:r>
      <w:r w:rsidR="00C74D9F">
        <w:rPr>
          <w:b w:val="0"/>
        </w:rPr>
        <w:t>ccess more broadly</w:t>
      </w:r>
      <w:r w:rsidR="00822DC5">
        <w:rPr>
          <w:b w:val="0"/>
        </w:rPr>
        <w:t>.</w:t>
      </w:r>
      <w:r w:rsidR="004735DB">
        <w:rPr>
          <w:b w:val="0"/>
        </w:rPr>
        <w:t xml:space="preserve"> </w:t>
      </w:r>
      <w:r>
        <w:rPr>
          <w:b w:val="0"/>
        </w:rPr>
        <w:t xml:space="preserve">We recognise </w:t>
      </w:r>
      <w:r w:rsidR="00F74866">
        <w:rPr>
          <w:b w:val="0"/>
        </w:rPr>
        <w:t xml:space="preserve">that </w:t>
      </w:r>
      <w:r>
        <w:rPr>
          <w:b w:val="0"/>
        </w:rPr>
        <w:t>there is a range of practice in the sector, and it will be up to HEIs to determine what evidence to provide.</w:t>
      </w:r>
    </w:p>
    <w:p w14:paraId="175F5ABC" w14:textId="77777777" w:rsidR="002E3EFE" w:rsidRDefault="002E3EFE" w:rsidP="00001D29">
      <w:pPr>
        <w:pStyle w:val="ListParagraph"/>
        <w:ind w:left="0"/>
        <w:rPr>
          <w:b w:val="0"/>
        </w:rPr>
      </w:pPr>
    </w:p>
    <w:p w14:paraId="40289D29" w14:textId="3483BEF4" w:rsidR="00CE1D62" w:rsidRDefault="00CE1D62" w:rsidP="00001D29">
      <w:pPr>
        <w:pStyle w:val="ListParagraph"/>
        <w:numPr>
          <w:ilvl w:val="0"/>
          <w:numId w:val="1"/>
        </w:numPr>
        <w:rPr>
          <w:b w:val="0"/>
        </w:rPr>
      </w:pPr>
      <w:r>
        <w:rPr>
          <w:b w:val="0"/>
        </w:rPr>
        <w:t xml:space="preserve">Note that we will not </w:t>
      </w:r>
      <w:r w:rsidR="00A16E22">
        <w:rPr>
          <w:b w:val="0"/>
        </w:rPr>
        <w:t xml:space="preserve">audit </w:t>
      </w:r>
      <w:r w:rsidR="0048080B">
        <w:rPr>
          <w:b w:val="0"/>
        </w:rPr>
        <w:t>p</w:t>
      </w:r>
      <w:r w:rsidR="0048080B" w:rsidRPr="0048080B">
        <w:rPr>
          <w:b w:val="0"/>
        </w:rPr>
        <w:t>rocesses and data relating to outputs published by an individual while not</w:t>
      </w:r>
      <w:r w:rsidR="0048080B">
        <w:rPr>
          <w:b w:val="0"/>
        </w:rPr>
        <w:t xml:space="preserve"> </w:t>
      </w:r>
      <w:r w:rsidR="0048080B" w:rsidRPr="0048080B">
        <w:rPr>
          <w:b w:val="0"/>
        </w:rPr>
        <w:t>employed by the submitting HEI</w:t>
      </w:r>
      <w:r w:rsidR="0048080B">
        <w:rPr>
          <w:b w:val="0"/>
        </w:rPr>
        <w:t>.</w:t>
      </w:r>
      <w:r w:rsidR="004735DB">
        <w:rPr>
          <w:b w:val="0"/>
        </w:rPr>
        <w:t xml:space="preserve"> </w:t>
      </w:r>
      <w:r w:rsidR="0048080B" w:rsidRPr="0048080B">
        <w:rPr>
          <w:b w:val="0"/>
        </w:rPr>
        <w:t>This includes outputs</w:t>
      </w:r>
      <w:r w:rsidR="0048080B">
        <w:rPr>
          <w:b w:val="0"/>
        </w:rPr>
        <w:t xml:space="preserve"> </w:t>
      </w:r>
      <w:r w:rsidR="000A111D" w:rsidRPr="000A111D">
        <w:rPr>
          <w:b w:val="0"/>
        </w:rPr>
        <w:t>published while at a different UK HEI.</w:t>
      </w:r>
      <w:r w:rsidR="004735DB">
        <w:rPr>
          <w:b w:val="0"/>
        </w:rPr>
        <w:t xml:space="preserve"> </w:t>
      </w:r>
      <w:r w:rsidR="000A111D">
        <w:rPr>
          <w:b w:val="0"/>
        </w:rPr>
        <w:t xml:space="preserve">Such outputs will </w:t>
      </w:r>
      <w:r w:rsidR="002E4461">
        <w:rPr>
          <w:b w:val="0"/>
        </w:rPr>
        <w:t xml:space="preserve">either be compliant </w:t>
      </w:r>
      <w:r w:rsidR="00F66065" w:rsidRPr="00F66065">
        <w:rPr>
          <w:b w:val="0"/>
        </w:rPr>
        <w:t xml:space="preserve">with the </w:t>
      </w:r>
      <w:r w:rsidR="00436A7C">
        <w:rPr>
          <w:b w:val="0"/>
        </w:rPr>
        <w:t>o</w:t>
      </w:r>
      <w:r w:rsidR="00B749F6">
        <w:rPr>
          <w:b w:val="0"/>
        </w:rPr>
        <w:t xml:space="preserve">pen </w:t>
      </w:r>
      <w:r w:rsidR="00436A7C">
        <w:rPr>
          <w:b w:val="0"/>
        </w:rPr>
        <w:t>a</w:t>
      </w:r>
      <w:r w:rsidR="00B749F6">
        <w:rPr>
          <w:b w:val="0"/>
        </w:rPr>
        <w:t>ccess</w:t>
      </w:r>
      <w:r w:rsidR="00F66065" w:rsidRPr="00F66065">
        <w:rPr>
          <w:b w:val="0"/>
        </w:rPr>
        <w:t xml:space="preserve"> policy </w:t>
      </w:r>
      <w:r w:rsidR="002E4461">
        <w:rPr>
          <w:b w:val="0"/>
        </w:rPr>
        <w:t xml:space="preserve">or </w:t>
      </w:r>
      <w:r w:rsidR="009F7F98">
        <w:rPr>
          <w:b w:val="0"/>
        </w:rPr>
        <w:t xml:space="preserve">covered by the exception in </w:t>
      </w:r>
      <w:r w:rsidR="00AF6F88">
        <w:rPr>
          <w:b w:val="0"/>
        </w:rPr>
        <w:t xml:space="preserve">paragraph 254a of the </w:t>
      </w:r>
      <w:r w:rsidR="00386245">
        <w:rPr>
          <w:b w:val="0"/>
        </w:rPr>
        <w:t>‘</w:t>
      </w:r>
      <w:r w:rsidR="00AF6F88" w:rsidRPr="001827BF">
        <w:rPr>
          <w:b w:val="0"/>
          <w:iCs/>
        </w:rPr>
        <w:t xml:space="preserve">Guidance on </w:t>
      </w:r>
      <w:proofErr w:type="gramStart"/>
      <w:r w:rsidR="00386245">
        <w:rPr>
          <w:b w:val="0"/>
          <w:iCs/>
        </w:rPr>
        <w:t>s</w:t>
      </w:r>
      <w:r w:rsidR="00386245" w:rsidRPr="001827BF">
        <w:rPr>
          <w:b w:val="0"/>
          <w:iCs/>
        </w:rPr>
        <w:t>ubmissions</w:t>
      </w:r>
      <w:r w:rsidR="00386245">
        <w:rPr>
          <w:b w:val="0"/>
          <w:iCs/>
        </w:rPr>
        <w:t>’</w:t>
      </w:r>
      <w:proofErr w:type="gramEnd"/>
      <w:r w:rsidR="00AF6F88" w:rsidRPr="00315534">
        <w:rPr>
          <w:b w:val="0"/>
        </w:rPr>
        <w:t>.</w:t>
      </w:r>
    </w:p>
    <w:p w14:paraId="712216F1" w14:textId="77777777" w:rsidR="00496C59" w:rsidRDefault="00496C59" w:rsidP="00496C59">
      <w:pPr>
        <w:pStyle w:val="ListParagraph"/>
        <w:ind w:left="0"/>
        <w:rPr>
          <w:b w:val="0"/>
        </w:rPr>
      </w:pPr>
    </w:p>
    <w:p w14:paraId="43D70EB7" w14:textId="6B84DA47" w:rsidR="002F5EF5" w:rsidRDefault="00496C59" w:rsidP="00496C59">
      <w:pPr>
        <w:pStyle w:val="ListParagraph"/>
        <w:numPr>
          <w:ilvl w:val="0"/>
          <w:numId w:val="1"/>
        </w:numPr>
        <w:rPr>
          <w:b w:val="0"/>
        </w:rPr>
      </w:pPr>
      <w:bookmarkStart w:id="20" w:name="_Ref3993562"/>
      <w:r w:rsidRPr="001526F3">
        <w:rPr>
          <w:b w:val="0"/>
        </w:rPr>
        <w:t xml:space="preserve">Where there is insufficient evidence to demonstrate a robust and well-managed process for </w:t>
      </w:r>
      <w:r w:rsidR="00F660BB">
        <w:rPr>
          <w:b w:val="0"/>
        </w:rPr>
        <w:t>o</w:t>
      </w:r>
      <w:r w:rsidRPr="001526F3">
        <w:rPr>
          <w:b w:val="0"/>
        </w:rPr>
        <w:t xml:space="preserve">pen </w:t>
      </w:r>
      <w:r w:rsidR="00F660BB">
        <w:rPr>
          <w:b w:val="0"/>
        </w:rPr>
        <w:t>a</w:t>
      </w:r>
      <w:r w:rsidRPr="001526F3">
        <w:rPr>
          <w:b w:val="0"/>
        </w:rPr>
        <w:t xml:space="preserve">ccess, we will </w:t>
      </w:r>
      <w:r w:rsidR="00D81993" w:rsidRPr="001526F3">
        <w:rPr>
          <w:b w:val="0"/>
        </w:rPr>
        <w:t xml:space="preserve">identify a set of outputs </w:t>
      </w:r>
      <w:r w:rsidR="00853086">
        <w:rPr>
          <w:b w:val="0"/>
        </w:rPr>
        <w:t xml:space="preserve">from each </w:t>
      </w:r>
      <w:r w:rsidR="00AB4060">
        <w:rPr>
          <w:b w:val="0"/>
        </w:rPr>
        <w:t>submission made by the</w:t>
      </w:r>
      <w:r w:rsidR="00AC1070">
        <w:rPr>
          <w:b w:val="0"/>
        </w:rPr>
        <w:t xml:space="preserve"> </w:t>
      </w:r>
      <w:proofErr w:type="gramStart"/>
      <w:r w:rsidR="00AC1070">
        <w:rPr>
          <w:b w:val="0"/>
        </w:rPr>
        <w:t xml:space="preserve">HEI, </w:t>
      </w:r>
      <w:r w:rsidR="00D81993" w:rsidRPr="001526F3">
        <w:rPr>
          <w:b w:val="0"/>
        </w:rPr>
        <w:t>and</w:t>
      </w:r>
      <w:proofErr w:type="gramEnd"/>
      <w:r w:rsidR="00D81993" w:rsidRPr="001526F3">
        <w:rPr>
          <w:b w:val="0"/>
        </w:rPr>
        <w:t xml:space="preserve"> request further information to </w:t>
      </w:r>
      <w:r w:rsidR="00AB4060">
        <w:rPr>
          <w:b w:val="0"/>
        </w:rPr>
        <w:t>verify</w:t>
      </w:r>
      <w:r w:rsidR="00AB4060" w:rsidRPr="001526F3">
        <w:rPr>
          <w:b w:val="0"/>
        </w:rPr>
        <w:t xml:space="preserve"> </w:t>
      </w:r>
      <w:r w:rsidR="00D81993" w:rsidRPr="001526F3">
        <w:rPr>
          <w:b w:val="0"/>
        </w:rPr>
        <w:t>w</w:t>
      </w:r>
      <w:r w:rsidR="00F604B1" w:rsidRPr="001526F3">
        <w:rPr>
          <w:b w:val="0"/>
        </w:rPr>
        <w:t>hether they are compliant with the policy, or whether an ex</w:t>
      </w:r>
      <w:r w:rsidR="00997C2E">
        <w:rPr>
          <w:b w:val="0"/>
        </w:rPr>
        <w:t>c</w:t>
      </w:r>
      <w:r w:rsidR="00F604B1" w:rsidRPr="001526F3">
        <w:rPr>
          <w:b w:val="0"/>
        </w:rPr>
        <w:t xml:space="preserve">eption applies. Outputs may be selected randomly, </w:t>
      </w:r>
      <w:r w:rsidR="00F604B1" w:rsidRPr="00F5356E">
        <w:rPr>
          <w:b w:val="0"/>
        </w:rPr>
        <w:t xml:space="preserve">or based on </w:t>
      </w:r>
      <w:r w:rsidR="00C93CCC" w:rsidRPr="00F5356E">
        <w:rPr>
          <w:b w:val="0"/>
        </w:rPr>
        <w:t xml:space="preserve">information in </w:t>
      </w:r>
      <w:r w:rsidR="00B20625" w:rsidRPr="00CB3F97">
        <w:rPr>
          <w:b w:val="0"/>
          <w:i/>
          <w:iCs/>
        </w:rPr>
        <w:t>unpaywall.org</w:t>
      </w:r>
      <w:r w:rsidR="00B20625" w:rsidRPr="00FB4050">
        <w:rPr>
          <w:b w:val="0"/>
        </w:rPr>
        <w:t xml:space="preserve"> or </w:t>
      </w:r>
      <w:r w:rsidR="00C93CCC" w:rsidRPr="00FB4050">
        <w:rPr>
          <w:b w:val="0"/>
        </w:rPr>
        <w:t>J</w:t>
      </w:r>
      <w:r w:rsidR="00F660BB">
        <w:rPr>
          <w:b w:val="0"/>
        </w:rPr>
        <w:t>isc</w:t>
      </w:r>
      <w:r w:rsidR="00C93CCC" w:rsidRPr="00FB4050">
        <w:rPr>
          <w:b w:val="0"/>
        </w:rPr>
        <w:t xml:space="preserve"> CORE</w:t>
      </w:r>
      <w:r w:rsidR="00C93CCC" w:rsidRPr="001526F3">
        <w:rPr>
          <w:b w:val="0"/>
        </w:rPr>
        <w:t xml:space="preserve">, or a </w:t>
      </w:r>
      <w:r w:rsidR="00B20625">
        <w:rPr>
          <w:b w:val="0"/>
        </w:rPr>
        <w:t>combination</w:t>
      </w:r>
      <w:r w:rsidR="00B20625" w:rsidRPr="001526F3">
        <w:rPr>
          <w:b w:val="0"/>
        </w:rPr>
        <w:t xml:space="preserve"> </w:t>
      </w:r>
      <w:r w:rsidR="00C93CCC" w:rsidRPr="001526F3">
        <w:rPr>
          <w:b w:val="0"/>
        </w:rPr>
        <w:t>of the two.</w:t>
      </w:r>
      <w:bookmarkEnd w:id="20"/>
      <w:r w:rsidR="004735DB">
        <w:rPr>
          <w:b w:val="0"/>
        </w:rPr>
        <w:t xml:space="preserve"> </w:t>
      </w:r>
      <w:r w:rsidR="0098093E">
        <w:rPr>
          <w:b w:val="0"/>
        </w:rPr>
        <w:t>We will select outputs that have been returned as compliant with the policy, and/or outputs that have been returned with exceptions.</w:t>
      </w:r>
    </w:p>
    <w:p w14:paraId="2C5C635D" w14:textId="77777777" w:rsidR="00253161" w:rsidRDefault="00253161" w:rsidP="0017383B">
      <w:pPr>
        <w:pStyle w:val="ListParagraph"/>
        <w:ind w:left="0"/>
        <w:rPr>
          <w:b w:val="0"/>
        </w:rPr>
      </w:pPr>
    </w:p>
    <w:p w14:paraId="6F5CBB4D" w14:textId="638DCAD1" w:rsidR="00957A9F" w:rsidRDefault="004605DC" w:rsidP="004D6F5A">
      <w:pPr>
        <w:pStyle w:val="ListParagraph"/>
        <w:numPr>
          <w:ilvl w:val="0"/>
          <w:numId w:val="1"/>
        </w:numPr>
        <w:rPr>
          <w:b w:val="0"/>
        </w:rPr>
      </w:pPr>
      <w:bookmarkStart w:id="21" w:name="_Ref10620348"/>
      <w:r w:rsidRPr="00315534">
        <w:rPr>
          <w:b w:val="0"/>
        </w:rPr>
        <w:t xml:space="preserve">Where substantive sampling </w:t>
      </w:r>
      <w:r w:rsidR="009525C8">
        <w:rPr>
          <w:b w:val="0"/>
        </w:rPr>
        <w:t>(see</w:t>
      </w:r>
      <w:r w:rsidRPr="00315534">
        <w:rPr>
          <w:b w:val="0"/>
        </w:rPr>
        <w:t xml:space="preserve"> paragraph </w:t>
      </w:r>
      <w:r w:rsidRPr="0017383B">
        <w:fldChar w:fldCharType="begin"/>
      </w:r>
      <w:r w:rsidRPr="00315534">
        <w:rPr>
          <w:b w:val="0"/>
        </w:rPr>
        <w:instrText xml:space="preserve"> REF _Ref3993562 \r \h </w:instrText>
      </w:r>
      <w:r w:rsidR="004D6F5A" w:rsidRPr="000654FF">
        <w:rPr>
          <w:b w:val="0"/>
        </w:rPr>
        <w:instrText xml:space="preserve"> \* MERGEFORMAT </w:instrText>
      </w:r>
      <w:r w:rsidRPr="0017383B">
        <w:rPr>
          <w:b w:val="0"/>
        </w:rPr>
        <w:fldChar w:fldCharType="separate"/>
      </w:r>
      <w:r w:rsidR="00FE72ED">
        <w:rPr>
          <w:b w:val="0"/>
        </w:rPr>
        <w:t>49</w:t>
      </w:r>
      <w:r w:rsidRPr="0017383B">
        <w:fldChar w:fldCharType="end"/>
      </w:r>
      <w:r w:rsidR="009525C8">
        <w:t>)</w:t>
      </w:r>
      <w:r w:rsidRPr="00315534">
        <w:rPr>
          <w:b w:val="0"/>
        </w:rPr>
        <w:t xml:space="preserve"> </w:t>
      </w:r>
      <w:r w:rsidR="00BC6CA8" w:rsidRPr="00315534">
        <w:rPr>
          <w:b w:val="0"/>
        </w:rPr>
        <w:t xml:space="preserve">identifies outputs that </w:t>
      </w:r>
      <w:r w:rsidR="00957A9F">
        <w:rPr>
          <w:b w:val="0"/>
        </w:rPr>
        <w:t xml:space="preserve">have been returned </w:t>
      </w:r>
      <w:r w:rsidR="003113F5">
        <w:rPr>
          <w:b w:val="0"/>
        </w:rPr>
        <w:t xml:space="preserve">in the submission </w:t>
      </w:r>
      <w:r w:rsidR="00957A9F">
        <w:rPr>
          <w:b w:val="0"/>
        </w:rPr>
        <w:t xml:space="preserve">as compliant with the policy, but which </w:t>
      </w:r>
      <w:r w:rsidR="00BC6CA8" w:rsidRPr="00315534">
        <w:rPr>
          <w:b w:val="0"/>
        </w:rPr>
        <w:t xml:space="preserve">are </w:t>
      </w:r>
      <w:r w:rsidR="00395DD3">
        <w:rPr>
          <w:b w:val="0"/>
        </w:rPr>
        <w:t xml:space="preserve">potentially </w:t>
      </w:r>
      <w:r w:rsidR="00BC6CA8" w:rsidRPr="00315534">
        <w:rPr>
          <w:b w:val="0"/>
        </w:rPr>
        <w:t>non-compliant</w:t>
      </w:r>
      <w:r w:rsidR="00E44936" w:rsidRPr="00315534">
        <w:rPr>
          <w:b w:val="0"/>
        </w:rPr>
        <w:t>,</w:t>
      </w:r>
      <w:r w:rsidR="00957A9F">
        <w:rPr>
          <w:b w:val="0"/>
        </w:rPr>
        <w:t xml:space="preserve"> </w:t>
      </w:r>
      <w:r w:rsidR="006A0797">
        <w:rPr>
          <w:b w:val="0"/>
        </w:rPr>
        <w:t>these will</w:t>
      </w:r>
      <w:r w:rsidR="00957A9F">
        <w:rPr>
          <w:b w:val="0"/>
        </w:rPr>
        <w:t xml:space="preserve"> </w:t>
      </w:r>
      <w:r w:rsidR="006A0797">
        <w:rPr>
          <w:b w:val="0"/>
        </w:rPr>
        <w:t xml:space="preserve">initially be </w:t>
      </w:r>
      <w:r w:rsidR="006A0797" w:rsidRPr="00107983">
        <w:rPr>
          <w:b w:val="0"/>
        </w:rPr>
        <w:t>raised as quer</w:t>
      </w:r>
      <w:r w:rsidR="006A0797" w:rsidRPr="00203463">
        <w:rPr>
          <w:b w:val="0"/>
        </w:rPr>
        <w:t>ies with the submitting HEI</w:t>
      </w:r>
      <w:r w:rsidR="00F364E9">
        <w:rPr>
          <w:b w:val="0"/>
        </w:rPr>
        <w:t>. The HEI</w:t>
      </w:r>
      <w:r w:rsidR="006A0797" w:rsidRPr="00203463">
        <w:rPr>
          <w:b w:val="0"/>
        </w:rPr>
        <w:t xml:space="preserve"> will be asked to respond wi</w:t>
      </w:r>
      <w:r w:rsidR="4E7E55B6" w:rsidRPr="00203463">
        <w:rPr>
          <w:b w:val="0"/>
        </w:rPr>
        <w:t>th</w:t>
      </w:r>
      <w:r w:rsidR="006A0797" w:rsidRPr="00107983">
        <w:rPr>
          <w:b w:val="0"/>
        </w:rPr>
        <w:t xml:space="preserve"> </w:t>
      </w:r>
      <w:r w:rsidR="00F364E9">
        <w:rPr>
          <w:b w:val="0"/>
        </w:rPr>
        <w:t>an</w:t>
      </w:r>
      <w:r w:rsidR="00956F35">
        <w:rPr>
          <w:b w:val="0"/>
        </w:rPr>
        <w:t xml:space="preserve"> </w:t>
      </w:r>
      <w:r w:rsidR="006A0797" w:rsidRPr="00107983">
        <w:rPr>
          <w:b w:val="0"/>
        </w:rPr>
        <w:t>explanation or supporting evidence.</w:t>
      </w:r>
      <w:r w:rsidR="004735DB">
        <w:rPr>
          <w:b w:val="0"/>
        </w:rPr>
        <w:t xml:space="preserve"> </w:t>
      </w:r>
      <w:r w:rsidR="009E5389" w:rsidRPr="00107983">
        <w:rPr>
          <w:b w:val="0"/>
        </w:rPr>
        <w:t xml:space="preserve">Similarly, where </w:t>
      </w:r>
      <w:r w:rsidR="009E5389" w:rsidRPr="00315534">
        <w:rPr>
          <w:b w:val="0"/>
        </w:rPr>
        <w:t>substantive sampling</w:t>
      </w:r>
      <w:r w:rsidR="009E5389">
        <w:rPr>
          <w:b w:val="0"/>
        </w:rPr>
        <w:t xml:space="preserve"> of outputs that have been returned with exceptions indicate that the exception</w:t>
      </w:r>
      <w:r w:rsidR="00D85CDE">
        <w:rPr>
          <w:b w:val="0"/>
        </w:rPr>
        <w:t>s</w:t>
      </w:r>
      <w:r w:rsidR="009E5389">
        <w:rPr>
          <w:b w:val="0"/>
        </w:rPr>
        <w:t xml:space="preserve"> may not be applicable, </w:t>
      </w:r>
      <w:r w:rsidR="00D85CDE">
        <w:rPr>
          <w:b w:val="0"/>
        </w:rPr>
        <w:t xml:space="preserve">these will initially be </w:t>
      </w:r>
      <w:r w:rsidR="00D85CDE" w:rsidRPr="00107983">
        <w:rPr>
          <w:b w:val="0"/>
        </w:rPr>
        <w:t>raised as quer</w:t>
      </w:r>
      <w:r w:rsidR="00D85CDE" w:rsidRPr="00203463">
        <w:rPr>
          <w:b w:val="0"/>
        </w:rPr>
        <w:t xml:space="preserve">ies with the submitting HEI, who will be asked to respond </w:t>
      </w:r>
      <w:r w:rsidR="00770DE5" w:rsidRPr="00203463">
        <w:rPr>
          <w:b w:val="0"/>
        </w:rPr>
        <w:t>wi</w:t>
      </w:r>
      <w:r w:rsidR="00770DE5">
        <w:rPr>
          <w:b w:val="0"/>
        </w:rPr>
        <w:t>th</w:t>
      </w:r>
      <w:r w:rsidR="00770DE5" w:rsidRPr="00203463">
        <w:rPr>
          <w:b w:val="0"/>
        </w:rPr>
        <w:t xml:space="preserve"> </w:t>
      </w:r>
      <w:r w:rsidR="002802D1">
        <w:rPr>
          <w:b w:val="0"/>
        </w:rPr>
        <w:t xml:space="preserve">an </w:t>
      </w:r>
      <w:r w:rsidR="00D85CDE" w:rsidRPr="00203463">
        <w:rPr>
          <w:b w:val="0"/>
        </w:rPr>
        <w:t>explanation or supporting evidence</w:t>
      </w:r>
      <w:r w:rsidR="00D85CDE" w:rsidRPr="00107983">
        <w:rPr>
          <w:b w:val="0"/>
        </w:rPr>
        <w:t>.</w:t>
      </w:r>
      <w:r w:rsidR="004735DB">
        <w:rPr>
          <w:b w:val="0"/>
        </w:rPr>
        <w:t xml:space="preserve"> </w:t>
      </w:r>
      <w:r w:rsidR="00367C48">
        <w:rPr>
          <w:b w:val="0"/>
        </w:rPr>
        <w:t>In both cases, evidence may be requested at the level of individual outputs.</w:t>
      </w:r>
      <w:bookmarkEnd w:id="21"/>
    </w:p>
    <w:p w14:paraId="538A74FA" w14:textId="77777777" w:rsidR="00957A9F" w:rsidRPr="001827BF" w:rsidRDefault="00957A9F" w:rsidP="0017383B"/>
    <w:p w14:paraId="01B68C57" w14:textId="4B209187" w:rsidR="00D87CC9" w:rsidRDefault="00602A3B" w:rsidP="004D6F5A">
      <w:pPr>
        <w:pStyle w:val="ListParagraph"/>
        <w:numPr>
          <w:ilvl w:val="0"/>
          <w:numId w:val="1"/>
        </w:numPr>
        <w:rPr>
          <w:b w:val="0"/>
        </w:rPr>
      </w:pPr>
      <w:r>
        <w:rPr>
          <w:b w:val="0"/>
        </w:rPr>
        <w:t xml:space="preserve">The ‘Guidance on submissions’ (paragraph 255a) sets out the grounds for using the ‘other’ exception. </w:t>
      </w:r>
      <w:r w:rsidR="00D87CC9">
        <w:rPr>
          <w:b w:val="0"/>
        </w:rPr>
        <w:t>H</w:t>
      </w:r>
      <w:r w:rsidR="001633AE">
        <w:rPr>
          <w:b w:val="0"/>
        </w:rPr>
        <w:t>EIs</w:t>
      </w:r>
      <w:r w:rsidR="00E44936" w:rsidRPr="00315534">
        <w:rPr>
          <w:b w:val="0"/>
        </w:rPr>
        <w:t xml:space="preserve"> </w:t>
      </w:r>
      <w:r>
        <w:rPr>
          <w:b w:val="0"/>
        </w:rPr>
        <w:t xml:space="preserve">should reference this </w:t>
      </w:r>
      <w:proofErr w:type="gramStart"/>
      <w:r>
        <w:rPr>
          <w:b w:val="0"/>
        </w:rPr>
        <w:t>guidance</w:t>
      </w:r>
      <w:r w:rsidR="00212F46">
        <w:rPr>
          <w:b w:val="0"/>
        </w:rPr>
        <w:t>, and</w:t>
      </w:r>
      <w:proofErr w:type="gramEnd"/>
      <w:r w:rsidR="00212F46">
        <w:rPr>
          <w:b w:val="0"/>
        </w:rPr>
        <w:t xml:space="preserve"> use </w:t>
      </w:r>
      <w:r>
        <w:rPr>
          <w:b w:val="0"/>
        </w:rPr>
        <w:t xml:space="preserve">this exception </w:t>
      </w:r>
      <w:r w:rsidR="00212F46">
        <w:rPr>
          <w:b w:val="0"/>
        </w:rPr>
        <w:t>only in circumstances that</w:t>
      </w:r>
      <w:r w:rsidR="00352640">
        <w:rPr>
          <w:b w:val="0"/>
        </w:rPr>
        <w:t xml:space="preserve"> they deem</w:t>
      </w:r>
      <w:r w:rsidR="00212F46">
        <w:rPr>
          <w:b w:val="0"/>
        </w:rPr>
        <w:t xml:space="preserve"> </w:t>
      </w:r>
      <w:r w:rsidR="00434982">
        <w:rPr>
          <w:b w:val="0"/>
        </w:rPr>
        <w:t>appropriate.</w:t>
      </w:r>
      <w:r w:rsidR="004735DB">
        <w:rPr>
          <w:b w:val="0"/>
        </w:rPr>
        <w:t xml:space="preserve"> </w:t>
      </w:r>
      <w:r w:rsidR="00434982">
        <w:rPr>
          <w:b w:val="0"/>
        </w:rPr>
        <w:t xml:space="preserve">Where the ‘other’ exception is used, HEIs should expect to be able </w:t>
      </w:r>
      <w:r w:rsidR="00434982">
        <w:rPr>
          <w:b w:val="0"/>
        </w:rPr>
        <w:lastRenderedPageBreak/>
        <w:t xml:space="preserve">to justify their decision to use the exception, </w:t>
      </w:r>
      <w:r w:rsidR="00A075D5">
        <w:rPr>
          <w:b w:val="0"/>
        </w:rPr>
        <w:t xml:space="preserve">in the context of </w:t>
      </w:r>
      <w:r w:rsidR="00434982">
        <w:rPr>
          <w:b w:val="0"/>
        </w:rPr>
        <w:t xml:space="preserve">both of the </w:t>
      </w:r>
      <w:r w:rsidR="00386245">
        <w:rPr>
          <w:b w:val="0"/>
        </w:rPr>
        <w:t>‘</w:t>
      </w:r>
      <w:r w:rsidR="00D22084" w:rsidRPr="001827BF">
        <w:rPr>
          <w:b w:val="0"/>
          <w:iCs/>
        </w:rPr>
        <w:t>G</w:t>
      </w:r>
      <w:r w:rsidR="00434982" w:rsidRPr="001827BF">
        <w:rPr>
          <w:b w:val="0"/>
          <w:iCs/>
        </w:rPr>
        <w:t xml:space="preserve">uidance on </w:t>
      </w:r>
      <w:r w:rsidR="00386245">
        <w:rPr>
          <w:b w:val="0"/>
          <w:iCs/>
        </w:rPr>
        <w:t>s</w:t>
      </w:r>
      <w:r w:rsidR="00386245" w:rsidRPr="001827BF">
        <w:rPr>
          <w:b w:val="0"/>
          <w:iCs/>
        </w:rPr>
        <w:t>ubmissions</w:t>
      </w:r>
      <w:r w:rsidR="00386245">
        <w:rPr>
          <w:b w:val="0"/>
          <w:iCs/>
        </w:rPr>
        <w:t>’</w:t>
      </w:r>
      <w:r w:rsidR="00386245">
        <w:rPr>
          <w:b w:val="0"/>
        </w:rPr>
        <w:t xml:space="preserve"> </w:t>
      </w:r>
      <w:r w:rsidR="00434982">
        <w:rPr>
          <w:b w:val="0"/>
        </w:rPr>
        <w:t xml:space="preserve">and their own </w:t>
      </w:r>
      <w:r w:rsidR="00D22084">
        <w:rPr>
          <w:b w:val="0"/>
        </w:rPr>
        <w:t>process for managing open access.</w:t>
      </w:r>
    </w:p>
    <w:p w14:paraId="5332A033" w14:textId="77777777" w:rsidR="00D87CC9" w:rsidRPr="00C14771" w:rsidRDefault="00D87CC9" w:rsidP="00222B78">
      <w:pPr>
        <w:pStyle w:val="ListParagraph"/>
        <w:rPr>
          <w:b w:val="0"/>
        </w:rPr>
      </w:pPr>
    </w:p>
    <w:p w14:paraId="5838A004" w14:textId="77777777" w:rsidR="00383FCF" w:rsidRDefault="00D24656" w:rsidP="004D6F5A">
      <w:pPr>
        <w:pStyle w:val="ListParagraph"/>
        <w:numPr>
          <w:ilvl w:val="0"/>
          <w:numId w:val="1"/>
        </w:numPr>
        <w:rPr>
          <w:b w:val="0"/>
        </w:rPr>
      </w:pPr>
      <w:r>
        <w:rPr>
          <w:b w:val="0"/>
        </w:rPr>
        <w:t xml:space="preserve">For </w:t>
      </w:r>
      <w:r w:rsidR="00C152B1">
        <w:rPr>
          <w:b w:val="0"/>
        </w:rPr>
        <w:t xml:space="preserve">identified </w:t>
      </w:r>
      <w:r>
        <w:rPr>
          <w:b w:val="0"/>
        </w:rPr>
        <w:t>in</w:t>
      </w:r>
      <w:r w:rsidR="00D1676E">
        <w:rPr>
          <w:b w:val="0"/>
        </w:rPr>
        <w:t>dividual</w:t>
      </w:r>
      <w:r w:rsidR="00C152B1">
        <w:rPr>
          <w:b w:val="0"/>
        </w:rPr>
        <w:t xml:space="preserve"> outputs</w:t>
      </w:r>
      <w:r w:rsidR="00D1676E">
        <w:rPr>
          <w:b w:val="0"/>
        </w:rPr>
        <w:t xml:space="preserve"> </w:t>
      </w:r>
      <w:r w:rsidR="00C152B1">
        <w:rPr>
          <w:b w:val="0"/>
        </w:rPr>
        <w:t>w</w:t>
      </w:r>
      <w:r w:rsidR="00C152B1" w:rsidRPr="00315534">
        <w:rPr>
          <w:b w:val="0"/>
        </w:rPr>
        <w:t xml:space="preserve">here </w:t>
      </w:r>
      <w:r w:rsidR="00485173">
        <w:rPr>
          <w:b w:val="0"/>
        </w:rPr>
        <w:t xml:space="preserve">the HEI cannot demonstrate </w:t>
      </w:r>
      <w:r w:rsidR="00B93CC7">
        <w:rPr>
          <w:b w:val="0"/>
        </w:rPr>
        <w:t xml:space="preserve">policy compliance or </w:t>
      </w:r>
      <w:r w:rsidR="00DD6B4D">
        <w:rPr>
          <w:b w:val="0"/>
        </w:rPr>
        <w:t xml:space="preserve">an </w:t>
      </w:r>
      <w:r w:rsidR="00B93CC7">
        <w:rPr>
          <w:b w:val="0"/>
        </w:rPr>
        <w:t xml:space="preserve">exception in terms of their </w:t>
      </w:r>
      <w:r w:rsidR="00DD6B4D">
        <w:rPr>
          <w:b w:val="0"/>
        </w:rPr>
        <w:t>process for managing open access</w:t>
      </w:r>
      <w:r w:rsidR="00BC6CA8" w:rsidRPr="00315534">
        <w:rPr>
          <w:b w:val="0"/>
        </w:rPr>
        <w:t xml:space="preserve">, </w:t>
      </w:r>
      <w:r w:rsidR="00A3122B" w:rsidRPr="00315534">
        <w:rPr>
          <w:b w:val="0"/>
        </w:rPr>
        <w:t>such outputs will be</w:t>
      </w:r>
      <w:r w:rsidR="001C7746" w:rsidRPr="00315534">
        <w:rPr>
          <w:b w:val="0"/>
        </w:rPr>
        <w:t xml:space="preserve"> changed to non-compliant in the submission.</w:t>
      </w:r>
      <w:r w:rsidR="004735DB">
        <w:rPr>
          <w:b w:val="0"/>
        </w:rPr>
        <w:t xml:space="preserve"> </w:t>
      </w:r>
      <w:r w:rsidR="00D03733" w:rsidRPr="00315534">
        <w:rPr>
          <w:b w:val="0"/>
        </w:rPr>
        <w:t>W</w:t>
      </w:r>
      <w:r w:rsidR="001852F4">
        <w:rPr>
          <w:b w:val="0"/>
        </w:rPr>
        <w:t>ithin each UOA, w</w:t>
      </w:r>
      <w:r w:rsidR="00D03733" w:rsidRPr="00315534">
        <w:rPr>
          <w:b w:val="0"/>
        </w:rPr>
        <w:t xml:space="preserve">here </w:t>
      </w:r>
      <w:r w:rsidR="00D63E44" w:rsidRPr="00315534">
        <w:rPr>
          <w:b w:val="0"/>
        </w:rPr>
        <w:t>this takes the total number of non-compliant outputs</w:t>
      </w:r>
      <w:r w:rsidR="00AD3B75" w:rsidRPr="00315534">
        <w:rPr>
          <w:b w:val="0"/>
        </w:rPr>
        <w:t xml:space="preserve"> above </w:t>
      </w:r>
      <w:r w:rsidR="00B26BDF">
        <w:rPr>
          <w:b w:val="0"/>
        </w:rPr>
        <w:t>one</w:t>
      </w:r>
      <w:r w:rsidR="00B26BDF" w:rsidRPr="00315534">
        <w:rPr>
          <w:b w:val="0"/>
        </w:rPr>
        <w:t xml:space="preserve"> </w:t>
      </w:r>
      <w:r w:rsidR="00AD3B75" w:rsidRPr="00315534">
        <w:rPr>
          <w:b w:val="0"/>
        </w:rPr>
        <w:t>and</w:t>
      </w:r>
      <w:r w:rsidR="00D63E44" w:rsidRPr="00315534">
        <w:rPr>
          <w:b w:val="0"/>
        </w:rPr>
        <w:t xml:space="preserve"> above 5%</w:t>
      </w:r>
      <w:r w:rsidR="00602A3B">
        <w:rPr>
          <w:b w:val="0"/>
        </w:rPr>
        <w:t xml:space="preserve"> for that submission</w:t>
      </w:r>
      <w:r w:rsidR="00AD3B75" w:rsidRPr="00315534">
        <w:rPr>
          <w:b w:val="0"/>
        </w:rPr>
        <w:t xml:space="preserve">, we will require the submitting HEI to </w:t>
      </w:r>
      <w:r w:rsidR="008363AF" w:rsidRPr="00315534">
        <w:rPr>
          <w:b w:val="0"/>
        </w:rPr>
        <w:t>select</w:t>
      </w:r>
      <w:r w:rsidR="00F57962" w:rsidRPr="00315534">
        <w:rPr>
          <w:b w:val="0"/>
        </w:rPr>
        <w:t xml:space="preserve"> </w:t>
      </w:r>
      <w:r w:rsidR="00B82122" w:rsidRPr="00315534">
        <w:rPr>
          <w:b w:val="0"/>
        </w:rPr>
        <w:t>outputs equal to the number that exceed the tolerance for non-compliance.</w:t>
      </w:r>
      <w:r w:rsidR="004735DB">
        <w:rPr>
          <w:b w:val="0"/>
        </w:rPr>
        <w:t xml:space="preserve"> </w:t>
      </w:r>
      <w:r w:rsidR="00B82122" w:rsidRPr="00315534">
        <w:rPr>
          <w:b w:val="0"/>
        </w:rPr>
        <w:t xml:space="preserve">The selected </w:t>
      </w:r>
      <w:r w:rsidR="00496C59" w:rsidRPr="00315534">
        <w:rPr>
          <w:b w:val="0"/>
        </w:rPr>
        <w:t xml:space="preserve">outputs </w:t>
      </w:r>
      <w:r w:rsidR="00DC4BB1" w:rsidRPr="00315534">
        <w:rPr>
          <w:b w:val="0"/>
        </w:rPr>
        <w:t>will be</w:t>
      </w:r>
      <w:r w:rsidR="00DC4BB1" w:rsidRPr="001827BF">
        <w:rPr>
          <w:b w:val="0"/>
        </w:rPr>
        <w:t xml:space="preserve"> </w:t>
      </w:r>
      <w:r w:rsidR="00E040D3" w:rsidRPr="001526F3">
        <w:rPr>
          <w:b w:val="0"/>
        </w:rPr>
        <w:t>removed</w:t>
      </w:r>
      <w:r w:rsidR="00DC1667" w:rsidRPr="001526F3">
        <w:rPr>
          <w:b w:val="0"/>
        </w:rPr>
        <w:t xml:space="preserve"> from the submission</w:t>
      </w:r>
      <w:r w:rsidR="00E040D3" w:rsidRPr="001526F3">
        <w:rPr>
          <w:b w:val="0"/>
        </w:rPr>
        <w:t xml:space="preserve">, and an unclassified score </w:t>
      </w:r>
      <w:r w:rsidR="005F3A87">
        <w:rPr>
          <w:b w:val="0"/>
        </w:rPr>
        <w:t xml:space="preserve">will be </w:t>
      </w:r>
      <w:r w:rsidR="00E040D3" w:rsidRPr="001526F3">
        <w:rPr>
          <w:b w:val="0"/>
        </w:rPr>
        <w:t>added for the ‘missing’ outputs</w:t>
      </w:r>
      <w:r w:rsidR="00496C59" w:rsidRPr="001827BF">
        <w:rPr>
          <w:b w:val="0"/>
        </w:rPr>
        <w:t>.</w:t>
      </w:r>
      <w:r w:rsidR="004735DB">
        <w:rPr>
          <w:b w:val="0"/>
        </w:rPr>
        <w:t xml:space="preserve"> </w:t>
      </w:r>
      <w:r w:rsidR="00AE31B1" w:rsidRPr="0017383B">
        <w:rPr>
          <w:b w:val="0"/>
        </w:rPr>
        <w:t xml:space="preserve">See paragraph </w:t>
      </w:r>
      <w:r w:rsidR="00AE31B1">
        <w:rPr>
          <w:b w:val="0"/>
        </w:rPr>
        <w:t xml:space="preserve">231 of the </w:t>
      </w:r>
      <w:r w:rsidR="000464DD">
        <w:rPr>
          <w:b w:val="0"/>
        </w:rPr>
        <w:t>‘</w:t>
      </w:r>
      <w:r w:rsidR="00AE31B1" w:rsidRPr="001827BF">
        <w:rPr>
          <w:b w:val="0"/>
          <w:iCs/>
        </w:rPr>
        <w:t xml:space="preserve">Guidance on </w:t>
      </w:r>
      <w:proofErr w:type="gramStart"/>
      <w:r w:rsidR="000464DD">
        <w:rPr>
          <w:b w:val="0"/>
          <w:iCs/>
        </w:rPr>
        <w:t>s</w:t>
      </w:r>
      <w:r w:rsidR="000464DD" w:rsidRPr="001827BF">
        <w:rPr>
          <w:b w:val="0"/>
          <w:iCs/>
        </w:rPr>
        <w:t>ubmissions</w:t>
      </w:r>
      <w:r w:rsidR="000464DD">
        <w:rPr>
          <w:b w:val="0"/>
          <w:iCs/>
        </w:rPr>
        <w:t>’</w:t>
      </w:r>
      <w:proofErr w:type="gramEnd"/>
      <w:r w:rsidR="00AE31B1">
        <w:rPr>
          <w:b w:val="0"/>
        </w:rPr>
        <w:t>.</w:t>
      </w:r>
    </w:p>
    <w:p w14:paraId="0F5FA1FB" w14:textId="77777777" w:rsidR="00383FCF" w:rsidRPr="001526F3" w:rsidRDefault="00383FCF" w:rsidP="001526F3">
      <w:pPr>
        <w:pStyle w:val="ListParagraph"/>
        <w:ind w:left="0"/>
        <w:rPr>
          <w:b w:val="0"/>
        </w:rPr>
      </w:pPr>
    </w:p>
    <w:p w14:paraId="62D5DC91" w14:textId="77777777" w:rsidR="00875941" w:rsidRDefault="00383FCF" w:rsidP="004D6F5A">
      <w:pPr>
        <w:pStyle w:val="ListParagraph"/>
        <w:numPr>
          <w:ilvl w:val="0"/>
          <w:numId w:val="1"/>
        </w:numPr>
        <w:rPr>
          <w:b w:val="0"/>
        </w:rPr>
      </w:pPr>
      <w:r w:rsidRPr="001526F3">
        <w:rPr>
          <w:b w:val="0"/>
        </w:rPr>
        <w:t xml:space="preserve">Where this involves removing the only output associated with a Category A submitted staff member, </w:t>
      </w:r>
      <w:r w:rsidR="00397E98">
        <w:rPr>
          <w:b w:val="0"/>
        </w:rPr>
        <w:t xml:space="preserve">and this </w:t>
      </w:r>
      <w:r w:rsidR="007E1BA5">
        <w:rPr>
          <w:b w:val="0"/>
        </w:rPr>
        <w:t xml:space="preserve">calls into question the eligibility of the associated staff member, </w:t>
      </w:r>
      <w:r w:rsidRPr="001526F3">
        <w:rPr>
          <w:b w:val="0"/>
        </w:rPr>
        <w:t xml:space="preserve">the REF team may audit the eligibility of the staff </w:t>
      </w:r>
      <w:proofErr w:type="gramStart"/>
      <w:r w:rsidRPr="001526F3">
        <w:rPr>
          <w:b w:val="0"/>
        </w:rPr>
        <w:t>member, and</w:t>
      </w:r>
      <w:proofErr w:type="gramEnd"/>
      <w:r w:rsidRPr="001526F3">
        <w:rPr>
          <w:b w:val="0"/>
        </w:rPr>
        <w:t xml:space="preserve"> review the submitted FTE accordingly</w:t>
      </w:r>
      <w:r w:rsidR="00A24836">
        <w:rPr>
          <w:rStyle w:val="FootnoteReference"/>
          <w:b w:val="0"/>
        </w:rPr>
        <w:footnoteReference w:id="8"/>
      </w:r>
      <w:r w:rsidRPr="001526F3">
        <w:rPr>
          <w:b w:val="0"/>
        </w:rPr>
        <w:t>.</w:t>
      </w:r>
    </w:p>
    <w:p w14:paraId="417BA455" w14:textId="77777777" w:rsidR="00290A45" w:rsidRDefault="00290A45" w:rsidP="001526F3">
      <w:pPr>
        <w:pStyle w:val="ListParagraph"/>
        <w:ind w:left="0"/>
        <w:rPr>
          <w:b w:val="0"/>
        </w:rPr>
      </w:pPr>
    </w:p>
    <w:p w14:paraId="3F5C1BCF" w14:textId="3B7BC3D5" w:rsidR="00965D33" w:rsidRDefault="00290A45" w:rsidP="004D6F5A">
      <w:pPr>
        <w:pStyle w:val="ListParagraph"/>
        <w:numPr>
          <w:ilvl w:val="0"/>
          <w:numId w:val="1"/>
        </w:numPr>
        <w:rPr>
          <w:b w:val="0"/>
        </w:rPr>
      </w:pPr>
      <w:r>
        <w:rPr>
          <w:b w:val="0"/>
        </w:rPr>
        <w:t>O</w:t>
      </w:r>
      <w:r w:rsidRPr="001526F3">
        <w:rPr>
          <w:b w:val="0"/>
        </w:rPr>
        <w:t xml:space="preserve">utputs produced by staff </w:t>
      </w:r>
      <w:r w:rsidR="00965D33">
        <w:rPr>
          <w:b w:val="0"/>
        </w:rPr>
        <w:t xml:space="preserve">that were accepted for publication </w:t>
      </w:r>
      <w:r w:rsidRPr="001526F3">
        <w:rPr>
          <w:b w:val="0"/>
        </w:rPr>
        <w:t>when they were at a former employer should not be returned as non-compliant</w:t>
      </w:r>
      <w:r w:rsidR="00965D33">
        <w:rPr>
          <w:b w:val="0"/>
        </w:rPr>
        <w:t>.</w:t>
      </w:r>
      <w:r w:rsidR="004735DB">
        <w:rPr>
          <w:b w:val="0"/>
        </w:rPr>
        <w:t xml:space="preserve"> </w:t>
      </w:r>
      <w:r w:rsidR="00965D33">
        <w:rPr>
          <w:b w:val="0"/>
        </w:rPr>
        <w:t>Instead, they should be returned:</w:t>
      </w:r>
    </w:p>
    <w:p w14:paraId="4BA3A040" w14:textId="77777777" w:rsidR="00965D33" w:rsidRPr="00FC6313" w:rsidRDefault="00965D33" w:rsidP="001526F3">
      <w:pPr>
        <w:pStyle w:val="ListParagraph"/>
        <w:rPr>
          <w:b w:val="0"/>
        </w:rPr>
      </w:pPr>
    </w:p>
    <w:p w14:paraId="5F479F19" w14:textId="77777777" w:rsidR="00FC6313" w:rsidRDefault="008170F7" w:rsidP="00965D33">
      <w:pPr>
        <w:pStyle w:val="ListParagraph"/>
        <w:numPr>
          <w:ilvl w:val="1"/>
          <w:numId w:val="1"/>
        </w:numPr>
        <w:rPr>
          <w:b w:val="0"/>
        </w:rPr>
      </w:pPr>
      <w:r>
        <w:rPr>
          <w:b w:val="0"/>
        </w:rPr>
        <w:t xml:space="preserve">as </w:t>
      </w:r>
      <w:r w:rsidR="00290A45" w:rsidRPr="001526F3">
        <w:rPr>
          <w:b w:val="0"/>
        </w:rPr>
        <w:t>out-of-scope</w:t>
      </w:r>
      <w:r w:rsidR="00326CC5">
        <w:rPr>
          <w:b w:val="0"/>
        </w:rPr>
        <w:t xml:space="preserve">, if they </w:t>
      </w:r>
      <w:r w:rsidR="008E5468">
        <w:rPr>
          <w:b w:val="0"/>
        </w:rPr>
        <w:t xml:space="preserve">are known to have been accepted for publication before </w:t>
      </w:r>
      <w:r w:rsidR="00FC6313">
        <w:rPr>
          <w:b w:val="0"/>
        </w:rPr>
        <w:t>the 1 April 2016;</w:t>
      </w:r>
      <w:r w:rsidR="004735DB">
        <w:rPr>
          <w:b w:val="0"/>
        </w:rPr>
        <w:t xml:space="preserve"> </w:t>
      </w:r>
      <w:r w:rsidR="00FC6313">
        <w:rPr>
          <w:b w:val="0"/>
        </w:rPr>
        <w:t>or</w:t>
      </w:r>
    </w:p>
    <w:p w14:paraId="59AF78D8" w14:textId="77777777" w:rsidR="0038035E" w:rsidRDefault="008170F7" w:rsidP="00965D33">
      <w:pPr>
        <w:pStyle w:val="ListParagraph"/>
        <w:numPr>
          <w:ilvl w:val="1"/>
          <w:numId w:val="1"/>
        </w:numPr>
        <w:rPr>
          <w:b w:val="0"/>
        </w:rPr>
      </w:pPr>
      <w:r>
        <w:rPr>
          <w:b w:val="0"/>
        </w:rPr>
        <w:t xml:space="preserve">as </w:t>
      </w:r>
      <w:r w:rsidR="007D5594">
        <w:rPr>
          <w:b w:val="0"/>
        </w:rPr>
        <w:t>‘</w:t>
      </w:r>
      <w:r w:rsidR="00290A45" w:rsidRPr="001526F3">
        <w:rPr>
          <w:b w:val="0"/>
        </w:rPr>
        <w:t>compliant</w:t>
      </w:r>
      <w:r w:rsidR="007D5594">
        <w:rPr>
          <w:b w:val="0"/>
        </w:rPr>
        <w:t>’</w:t>
      </w:r>
      <w:r w:rsidR="00290A45" w:rsidRPr="001526F3">
        <w:rPr>
          <w:b w:val="0"/>
        </w:rPr>
        <w:t xml:space="preserve"> if </w:t>
      </w:r>
      <w:r w:rsidR="00FC6313">
        <w:rPr>
          <w:b w:val="0"/>
        </w:rPr>
        <w:t xml:space="preserve">this is </w:t>
      </w:r>
      <w:r w:rsidR="00290A45" w:rsidRPr="001526F3">
        <w:rPr>
          <w:b w:val="0"/>
        </w:rPr>
        <w:t>known</w:t>
      </w:r>
      <w:r w:rsidR="00FC6313">
        <w:rPr>
          <w:b w:val="0"/>
        </w:rPr>
        <w:t xml:space="preserve"> to be the case;</w:t>
      </w:r>
      <w:r w:rsidR="0038035E">
        <w:rPr>
          <w:b w:val="0"/>
        </w:rPr>
        <w:t xml:space="preserve"> </w:t>
      </w:r>
      <w:r w:rsidR="00290A45" w:rsidRPr="001526F3">
        <w:rPr>
          <w:b w:val="0"/>
        </w:rPr>
        <w:t>or</w:t>
      </w:r>
    </w:p>
    <w:p w14:paraId="3BBBCC7D" w14:textId="77777777" w:rsidR="005B707B" w:rsidRPr="0017383B" w:rsidRDefault="00290A45" w:rsidP="001526F3">
      <w:pPr>
        <w:pStyle w:val="ListParagraph"/>
        <w:numPr>
          <w:ilvl w:val="1"/>
          <w:numId w:val="1"/>
        </w:numPr>
        <w:rPr>
          <w:b w:val="0"/>
        </w:rPr>
      </w:pPr>
      <w:r w:rsidRPr="001526F3">
        <w:rPr>
          <w:b w:val="0"/>
        </w:rPr>
        <w:t xml:space="preserve">with the </w:t>
      </w:r>
      <w:r w:rsidR="0038035E">
        <w:rPr>
          <w:b w:val="0"/>
        </w:rPr>
        <w:t xml:space="preserve">technical exception </w:t>
      </w:r>
      <w:r w:rsidR="00FD1BAF">
        <w:rPr>
          <w:b w:val="0"/>
        </w:rPr>
        <w:t xml:space="preserve">for outputs attributed to staff members </w:t>
      </w:r>
      <w:r w:rsidR="00C1363E">
        <w:rPr>
          <w:b w:val="0"/>
        </w:rPr>
        <w:t xml:space="preserve">employed at a different UK HEI at the point of acceptance, as described in paragraph </w:t>
      </w:r>
      <w:r w:rsidRPr="001526F3">
        <w:rPr>
          <w:b w:val="0"/>
        </w:rPr>
        <w:t xml:space="preserve">254(a) </w:t>
      </w:r>
      <w:r w:rsidR="00C1363E">
        <w:rPr>
          <w:b w:val="0"/>
        </w:rPr>
        <w:t xml:space="preserve">of the </w:t>
      </w:r>
      <w:r w:rsidR="000464DD">
        <w:rPr>
          <w:b w:val="0"/>
        </w:rPr>
        <w:t>‘</w:t>
      </w:r>
      <w:r w:rsidR="00C1363E" w:rsidRPr="001827BF">
        <w:rPr>
          <w:b w:val="0"/>
        </w:rPr>
        <w:t xml:space="preserve">Guidance on </w:t>
      </w:r>
      <w:r w:rsidR="000464DD">
        <w:rPr>
          <w:b w:val="0"/>
        </w:rPr>
        <w:t>s</w:t>
      </w:r>
      <w:r w:rsidR="000464DD" w:rsidRPr="001827BF">
        <w:rPr>
          <w:b w:val="0"/>
        </w:rPr>
        <w:t>ubmissions</w:t>
      </w:r>
      <w:r w:rsidR="000464DD">
        <w:rPr>
          <w:b w:val="0"/>
        </w:rPr>
        <w:t>’</w:t>
      </w:r>
      <w:r w:rsidRPr="001526F3">
        <w:rPr>
          <w:b w:val="0"/>
        </w:rPr>
        <w:t>.</w:t>
      </w:r>
    </w:p>
    <w:p w14:paraId="2EA09EF8" w14:textId="77777777" w:rsidR="00F91264" w:rsidRDefault="00F91264" w:rsidP="00875941"/>
    <w:p w14:paraId="62FF557A" w14:textId="2CE8627A" w:rsidR="000240EF" w:rsidRDefault="00E36C1D" w:rsidP="00315534">
      <w:pPr>
        <w:pStyle w:val="ListParagraph"/>
        <w:numPr>
          <w:ilvl w:val="0"/>
          <w:numId w:val="1"/>
        </w:numPr>
        <w:rPr>
          <w:b w:val="0"/>
        </w:rPr>
      </w:pPr>
      <w:r>
        <w:rPr>
          <w:b w:val="0"/>
        </w:rPr>
        <w:t xml:space="preserve">We would expect HEIs’ own process for </w:t>
      </w:r>
      <w:r w:rsidR="002701CA">
        <w:rPr>
          <w:b w:val="0"/>
        </w:rPr>
        <w:t xml:space="preserve">managing </w:t>
      </w:r>
      <w:r w:rsidR="00436A7C">
        <w:rPr>
          <w:b w:val="0"/>
        </w:rPr>
        <w:t>o</w:t>
      </w:r>
      <w:r w:rsidR="002701CA">
        <w:rPr>
          <w:b w:val="0"/>
        </w:rPr>
        <w:t xml:space="preserve">pen </w:t>
      </w:r>
      <w:r w:rsidR="00436A7C">
        <w:rPr>
          <w:b w:val="0"/>
        </w:rPr>
        <w:t>a</w:t>
      </w:r>
      <w:r w:rsidR="002701CA">
        <w:rPr>
          <w:b w:val="0"/>
        </w:rPr>
        <w:t xml:space="preserve">ccess to </w:t>
      </w:r>
      <w:r w:rsidR="00736673">
        <w:rPr>
          <w:b w:val="0"/>
        </w:rPr>
        <w:t>address</w:t>
      </w:r>
      <w:r w:rsidR="002701CA">
        <w:rPr>
          <w:b w:val="0"/>
        </w:rPr>
        <w:t xml:space="preserve"> </w:t>
      </w:r>
      <w:r w:rsidR="008E3915">
        <w:rPr>
          <w:b w:val="0"/>
        </w:rPr>
        <w:t>‘</w:t>
      </w:r>
      <w:r w:rsidR="002701CA">
        <w:rPr>
          <w:b w:val="0"/>
        </w:rPr>
        <w:t>Gold</w:t>
      </w:r>
      <w:r w:rsidR="008E3915">
        <w:rPr>
          <w:b w:val="0"/>
        </w:rPr>
        <w:t>’</w:t>
      </w:r>
      <w:r w:rsidR="002701CA">
        <w:rPr>
          <w:b w:val="0"/>
        </w:rPr>
        <w:t xml:space="preserve"> open access</w:t>
      </w:r>
      <w:r w:rsidR="00722656">
        <w:rPr>
          <w:b w:val="0"/>
        </w:rPr>
        <w:t>, in agree</w:t>
      </w:r>
      <w:r w:rsidR="00894BCD">
        <w:rPr>
          <w:b w:val="0"/>
        </w:rPr>
        <w:t>ment with funders’ requirements and definitions</w:t>
      </w:r>
      <w:r w:rsidR="00F94D66">
        <w:rPr>
          <w:b w:val="0"/>
        </w:rPr>
        <w:t xml:space="preserve"> and </w:t>
      </w:r>
      <w:r w:rsidR="008E3915">
        <w:rPr>
          <w:b w:val="0"/>
        </w:rPr>
        <w:t xml:space="preserve">with </w:t>
      </w:r>
      <w:r w:rsidR="00576B64">
        <w:rPr>
          <w:b w:val="0"/>
        </w:rPr>
        <w:t xml:space="preserve">paragraph 239 of the </w:t>
      </w:r>
      <w:r w:rsidR="000464DD">
        <w:rPr>
          <w:b w:val="0"/>
        </w:rPr>
        <w:t>‘</w:t>
      </w:r>
      <w:r w:rsidR="00576B64" w:rsidRPr="001827BF">
        <w:rPr>
          <w:b w:val="0"/>
        </w:rPr>
        <w:t xml:space="preserve">Guidance on </w:t>
      </w:r>
      <w:r w:rsidR="000464DD">
        <w:rPr>
          <w:b w:val="0"/>
        </w:rPr>
        <w:t>s</w:t>
      </w:r>
      <w:r w:rsidR="000464DD" w:rsidRPr="001827BF">
        <w:rPr>
          <w:b w:val="0"/>
        </w:rPr>
        <w:t>ubmissions</w:t>
      </w:r>
      <w:r w:rsidR="000464DD">
        <w:rPr>
          <w:b w:val="0"/>
        </w:rPr>
        <w:t>’</w:t>
      </w:r>
      <w:r w:rsidR="00894BCD">
        <w:rPr>
          <w:b w:val="0"/>
        </w:rPr>
        <w:t xml:space="preserve">, and </w:t>
      </w:r>
      <w:r w:rsidR="0088369A">
        <w:rPr>
          <w:b w:val="0"/>
        </w:rPr>
        <w:t xml:space="preserve">to </w:t>
      </w:r>
      <w:r w:rsidR="00E51536">
        <w:rPr>
          <w:b w:val="0"/>
        </w:rPr>
        <w:t xml:space="preserve">describe the decision-making process by which an output is determined to be, or not to be, open access via the </w:t>
      </w:r>
      <w:r w:rsidR="009D7179">
        <w:rPr>
          <w:b w:val="0"/>
        </w:rPr>
        <w:t>‘</w:t>
      </w:r>
      <w:r w:rsidR="00E51536">
        <w:rPr>
          <w:b w:val="0"/>
        </w:rPr>
        <w:t>Gold</w:t>
      </w:r>
      <w:r w:rsidR="009D7179">
        <w:rPr>
          <w:b w:val="0"/>
        </w:rPr>
        <w:t>’</w:t>
      </w:r>
      <w:r w:rsidR="00E51536">
        <w:rPr>
          <w:b w:val="0"/>
        </w:rPr>
        <w:t xml:space="preserve"> route</w:t>
      </w:r>
      <w:r w:rsidR="000240EF">
        <w:rPr>
          <w:b w:val="0"/>
        </w:rPr>
        <w:t>.</w:t>
      </w:r>
    </w:p>
    <w:p w14:paraId="787F0ACD" w14:textId="77777777" w:rsidR="005E1BFA" w:rsidRDefault="005E1BFA" w:rsidP="00222B78">
      <w:pPr>
        <w:pStyle w:val="ListParagraph"/>
        <w:ind w:left="0"/>
        <w:rPr>
          <w:b w:val="0"/>
        </w:rPr>
      </w:pPr>
    </w:p>
    <w:p w14:paraId="3CCE4060" w14:textId="5AF61B55" w:rsidR="00D3153C" w:rsidRPr="000240EF" w:rsidRDefault="00D3153C" w:rsidP="00315534">
      <w:pPr>
        <w:pStyle w:val="ListParagraph"/>
        <w:numPr>
          <w:ilvl w:val="0"/>
          <w:numId w:val="1"/>
        </w:numPr>
        <w:rPr>
          <w:b w:val="0"/>
        </w:rPr>
      </w:pPr>
      <w:bookmarkStart w:id="22" w:name="_Ref10557651"/>
      <w:r w:rsidRPr="00D3153C">
        <w:rPr>
          <w:b w:val="0"/>
        </w:rPr>
        <w:t xml:space="preserve">If the output in question has been made available immediately </w:t>
      </w:r>
      <w:r w:rsidR="00076633">
        <w:rPr>
          <w:b w:val="0"/>
        </w:rPr>
        <w:t xml:space="preserve">as </w:t>
      </w:r>
      <w:r w:rsidR="009D7179">
        <w:rPr>
          <w:b w:val="0"/>
        </w:rPr>
        <w:t>‘G</w:t>
      </w:r>
      <w:r w:rsidRPr="00D3153C">
        <w:rPr>
          <w:b w:val="0"/>
        </w:rPr>
        <w:t>old</w:t>
      </w:r>
      <w:r w:rsidR="009D7179">
        <w:rPr>
          <w:b w:val="0"/>
        </w:rPr>
        <w:t>’</w:t>
      </w:r>
      <w:r w:rsidRPr="00D3153C">
        <w:rPr>
          <w:b w:val="0"/>
        </w:rPr>
        <w:t xml:space="preserve"> open access in accordance </w:t>
      </w:r>
      <w:r w:rsidR="00C146F2">
        <w:rPr>
          <w:b w:val="0"/>
        </w:rPr>
        <w:t>with</w:t>
      </w:r>
      <w:r w:rsidR="00C146F2" w:rsidRPr="00D3153C">
        <w:rPr>
          <w:b w:val="0"/>
        </w:rPr>
        <w:t xml:space="preserve"> </w:t>
      </w:r>
      <w:proofErr w:type="spellStart"/>
      <w:r w:rsidRPr="00D3153C">
        <w:rPr>
          <w:b w:val="0"/>
        </w:rPr>
        <w:t>Wellcome</w:t>
      </w:r>
      <w:proofErr w:type="spellEnd"/>
      <w:r w:rsidR="00C146F2">
        <w:rPr>
          <w:b w:val="0"/>
        </w:rPr>
        <w:t>,</w:t>
      </w:r>
      <w:r w:rsidRPr="00D3153C">
        <w:rPr>
          <w:b w:val="0"/>
        </w:rPr>
        <w:t xml:space="preserve"> Research Council or other funders</w:t>
      </w:r>
      <w:r w:rsidR="00C146F2">
        <w:rPr>
          <w:b w:val="0"/>
        </w:rPr>
        <w:t>’</w:t>
      </w:r>
      <w:r w:rsidRPr="00D3153C">
        <w:rPr>
          <w:b w:val="0"/>
        </w:rPr>
        <w:t xml:space="preserve"> requirements then we deem this to have met the policy need.</w:t>
      </w:r>
      <w:r w:rsidR="004735DB">
        <w:rPr>
          <w:b w:val="0"/>
        </w:rPr>
        <w:t xml:space="preserve"> </w:t>
      </w:r>
      <w:r w:rsidRPr="00D3153C">
        <w:rPr>
          <w:b w:val="0"/>
        </w:rPr>
        <w:t xml:space="preserve">In other </w:t>
      </w:r>
      <w:proofErr w:type="gramStart"/>
      <w:r w:rsidRPr="00D3153C">
        <w:rPr>
          <w:b w:val="0"/>
        </w:rPr>
        <w:t>instances</w:t>
      </w:r>
      <w:proofErr w:type="gramEnd"/>
      <w:r w:rsidRPr="00D3153C">
        <w:rPr>
          <w:b w:val="0"/>
        </w:rPr>
        <w:t xml:space="preserve"> we encourage the institution to assure themselves that they deem the output </w:t>
      </w:r>
      <w:r w:rsidR="00082918">
        <w:rPr>
          <w:b w:val="0"/>
        </w:rPr>
        <w:t xml:space="preserve">to be </w:t>
      </w:r>
      <w:r w:rsidRPr="00D3153C">
        <w:rPr>
          <w:b w:val="0"/>
        </w:rPr>
        <w:t>‘</w:t>
      </w:r>
      <w:r w:rsidR="00082918">
        <w:rPr>
          <w:b w:val="0"/>
        </w:rPr>
        <w:t>G</w:t>
      </w:r>
      <w:r w:rsidRPr="00D3153C">
        <w:rPr>
          <w:b w:val="0"/>
        </w:rPr>
        <w:t>old’</w:t>
      </w:r>
      <w:r w:rsidR="00D5729A">
        <w:rPr>
          <w:b w:val="0"/>
        </w:rPr>
        <w:t xml:space="preserve"> via the definition in their own process for managing </w:t>
      </w:r>
      <w:r w:rsidR="00082918">
        <w:rPr>
          <w:b w:val="0"/>
        </w:rPr>
        <w:t>o</w:t>
      </w:r>
      <w:r w:rsidR="00D5729A">
        <w:rPr>
          <w:b w:val="0"/>
        </w:rPr>
        <w:t xml:space="preserve">pen </w:t>
      </w:r>
      <w:r w:rsidR="00082918">
        <w:rPr>
          <w:b w:val="0"/>
        </w:rPr>
        <w:t>a</w:t>
      </w:r>
      <w:r w:rsidR="00D5729A">
        <w:rPr>
          <w:b w:val="0"/>
        </w:rPr>
        <w:t>ccess</w:t>
      </w:r>
      <w:r>
        <w:rPr>
          <w:b w:val="0"/>
        </w:rPr>
        <w:t>.</w:t>
      </w:r>
      <w:bookmarkEnd w:id="22"/>
    </w:p>
    <w:p w14:paraId="4F887DEA" w14:textId="77777777" w:rsidR="0043787E" w:rsidRDefault="0043787E" w:rsidP="00496C59">
      <w:pPr>
        <w:pStyle w:val="ListParagraph"/>
        <w:ind w:left="0"/>
        <w:rPr>
          <w:b w:val="0"/>
        </w:rPr>
      </w:pPr>
    </w:p>
    <w:p w14:paraId="42534815" w14:textId="6DBC0EDF" w:rsidR="00496C59" w:rsidRPr="0003487C" w:rsidRDefault="00496C59" w:rsidP="00222B78">
      <w:pPr>
        <w:pStyle w:val="ListParagraph"/>
        <w:keepNext/>
        <w:ind w:left="0"/>
        <w:rPr>
          <w:sz w:val="24"/>
          <w:szCs w:val="24"/>
        </w:rPr>
      </w:pPr>
      <w:r w:rsidRPr="00A65E15">
        <w:rPr>
          <w:sz w:val="24"/>
          <w:szCs w:val="24"/>
        </w:rPr>
        <w:t xml:space="preserve">Impact </w:t>
      </w:r>
      <w:r w:rsidR="006F7BCF">
        <w:rPr>
          <w:sz w:val="24"/>
          <w:szCs w:val="24"/>
        </w:rPr>
        <w:t>c</w:t>
      </w:r>
      <w:r w:rsidRPr="00001D29">
        <w:rPr>
          <w:sz w:val="24"/>
          <w:szCs w:val="24"/>
        </w:rPr>
        <w:t xml:space="preserve">ase </w:t>
      </w:r>
      <w:r w:rsidR="006F7BCF">
        <w:rPr>
          <w:sz w:val="24"/>
          <w:szCs w:val="24"/>
        </w:rPr>
        <w:t>s</w:t>
      </w:r>
      <w:r w:rsidRPr="0003487C">
        <w:rPr>
          <w:sz w:val="24"/>
          <w:szCs w:val="24"/>
        </w:rPr>
        <w:t>tudies (REF3)</w:t>
      </w:r>
    </w:p>
    <w:p w14:paraId="100131D0" w14:textId="77777777" w:rsidR="00496C59" w:rsidRPr="00BC7B64" w:rsidRDefault="00496C59" w:rsidP="00222B78">
      <w:pPr>
        <w:pStyle w:val="ListParagraph"/>
        <w:keepNext/>
        <w:ind w:left="0"/>
        <w:rPr>
          <w:b w:val="0"/>
          <w:szCs w:val="20"/>
        </w:rPr>
      </w:pPr>
    </w:p>
    <w:p w14:paraId="18E0A66C" w14:textId="6EFE7B02" w:rsidR="00496C59" w:rsidRPr="00C046C3" w:rsidRDefault="0004641D" w:rsidP="00C046C3">
      <w:pPr>
        <w:pStyle w:val="ListParagraph"/>
        <w:numPr>
          <w:ilvl w:val="0"/>
          <w:numId w:val="1"/>
        </w:numPr>
        <w:rPr>
          <w:b w:val="0"/>
        </w:rPr>
      </w:pPr>
      <w:bookmarkStart w:id="23" w:name="_Ref10645732"/>
      <w:r>
        <w:rPr>
          <w:b w:val="0"/>
        </w:rPr>
        <w:t>The REF team will audit a</w:t>
      </w:r>
      <w:r w:rsidRPr="000D15BA">
        <w:rPr>
          <w:b w:val="0"/>
        </w:rPr>
        <w:t xml:space="preserve"> </w:t>
      </w:r>
      <w:r w:rsidR="00496C59" w:rsidRPr="000D15BA">
        <w:rPr>
          <w:b w:val="0"/>
        </w:rPr>
        <w:t xml:space="preserve">sample of impact case studies, including some case studies submitted by each HEI (in one or more UOAs). </w:t>
      </w:r>
      <w:r w:rsidR="00F31D9F">
        <w:rPr>
          <w:b w:val="0"/>
        </w:rPr>
        <w:t>In the first instance, s</w:t>
      </w:r>
      <w:r w:rsidR="00496C59" w:rsidRPr="000D15BA">
        <w:rPr>
          <w:b w:val="0"/>
        </w:rPr>
        <w:t>election of the sample will be based on advice from the sub-panels</w:t>
      </w:r>
      <w:r w:rsidR="00FD6D75">
        <w:rPr>
          <w:b w:val="0"/>
        </w:rPr>
        <w:t xml:space="preserve"> in relation to case studies </w:t>
      </w:r>
      <w:r w:rsidR="00B903B9">
        <w:rPr>
          <w:b w:val="0"/>
        </w:rPr>
        <w:t>they have concerns about. This will be supplemented</w:t>
      </w:r>
      <w:r w:rsidR="00E103C0">
        <w:rPr>
          <w:b w:val="0"/>
        </w:rPr>
        <w:t>,</w:t>
      </w:r>
      <w:r w:rsidR="00B903B9">
        <w:rPr>
          <w:b w:val="0"/>
        </w:rPr>
        <w:t xml:space="preserve"> where necessary</w:t>
      </w:r>
      <w:r w:rsidR="00E103C0">
        <w:rPr>
          <w:b w:val="0"/>
        </w:rPr>
        <w:t>,</w:t>
      </w:r>
      <w:r w:rsidR="00B903B9">
        <w:rPr>
          <w:b w:val="0"/>
        </w:rPr>
        <w:t xml:space="preserve"> by random audit by the REF team</w:t>
      </w:r>
      <w:r w:rsidR="00C046C3">
        <w:rPr>
          <w:b w:val="0"/>
        </w:rPr>
        <w:t xml:space="preserve">, to ensure </w:t>
      </w:r>
      <w:r w:rsidR="00C046C3" w:rsidRPr="00C046C3">
        <w:rPr>
          <w:b w:val="0"/>
        </w:rPr>
        <w:t>a reasonable spread across</w:t>
      </w:r>
      <w:r w:rsidR="00C046C3">
        <w:rPr>
          <w:b w:val="0"/>
        </w:rPr>
        <w:t xml:space="preserve"> </w:t>
      </w:r>
      <w:r w:rsidR="00C046C3" w:rsidRPr="00C046C3">
        <w:rPr>
          <w:b w:val="0"/>
        </w:rPr>
        <w:t>UOAs and HEIs</w:t>
      </w:r>
      <w:r w:rsidR="00496C59" w:rsidRPr="00C046C3">
        <w:rPr>
          <w:b w:val="0"/>
        </w:rPr>
        <w:t>.</w:t>
      </w:r>
      <w:r w:rsidR="004735DB">
        <w:rPr>
          <w:b w:val="0"/>
        </w:rPr>
        <w:t xml:space="preserve"> </w:t>
      </w:r>
      <w:r w:rsidR="00496C59" w:rsidRPr="00FD6D75">
        <w:rPr>
          <w:b w:val="0"/>
        </w:rPr>
        <w:t>We will seek to verify the eligibility of impact case studies and corroborate key claims made about the impacts</w:t>
      </w:r>
      <w:r w:rsidR="00724538">
        <w:rPr>
          <w:b w:val="0"/>
        </w:rPr>
        <w:t>.</w:t>
      </w:r>
      <w:bookmarkEnd w:id="23"/>
    </w:p>
    <w:p w14:paraId="7D5D3700" w14:textId="77777777" w:rsidR="00AA5712" w:rsidRDefault="00AA5712" w:rsidP="0006341F">
      <w:pPr>
        <w:pStyle w:val="ListParagraph"/>
        <w:ind w:left="0"/>
        <w:rPr>
          <w:b w:val="0"/>
        </w:rPr>
      </w:pPr>
    </w:p>
    <w:p w14:paraId="7C13FCEC" w14:textId="77777777" w:rsidR="004B06A8" w:rsidRDefault="00A22BDD" w:rsidP="00496C59">
      <w:pPr>
        <w:pStyle w:val="ListParagraph"/>
        <w:numPr>
          <w:ilvl w:val="0"/>
          <w:numId w:val="1"/>
        </w:numPr>
        <w:rPr>
          <w:b w:val="0"/>
        </w:rPr>
      </w:pPr>
      <w:r>
        <w:rPr>
          <w:b w:val="0"/>
        </w:rPr>
        <w:lastRenderedPageBreak/>
        <w:t>E</w:t>
      </w:r>
      <w:r w:rsidR="00686BB1" w:rsidRPr="00073383">
        <w:rPr>
          <w:b w:val="0"/>
        </w:rPr>
        <w:t>ach submitted impact case study should include</w:t>
      </w:r>
      <w:r>
        <w:rPr>
          <w:b w:val="0"/>
        </w:rPr>
        <w:t xml:space="preserve"> </w:t>
      </w:r>
      <w:r w:rsidR="0032244B">
        <w:rPr>
          <w:b w:val="0"/>
        </w:rPr>
        <w:t xml:space="preserve">all elements as described in the REF3 data requirements in paragraphs </w:t>
      </w:r>
      <w:r w:rsidR="007607C2">
        <w:rPr>
          <w:b w:val="0"/>
        </w:rPr>
        <w:t>327-330 of the</w:t>
      </w:r>
      <w:r w:rsidR="0032244B">
        <w:rPr>
          <w:b w:val="0"/>
        </w:rPr>
        <w:t xml:space="preserve"> ‘Guidance on </w:t>
      </w:r>
      <w:proofErr w:type="gramStart"/>
      <w:r w:rsidR="0032244B">
        <w:rPr>
          <w:b w:val="0"/>
        </w:rPr>
        <w:t>submissions’</w:t>
      </w:r>
      <w:proofErr w:type="gramEnd"/>
      <w:r w:rsidR="008905AE">
        <w:rPr>
          <w:b w:val="0"/>
        </w:rPr>
        <w:t>.</w:t>
      </w:r>
    </w:p>
    <w:p w14:paraId="25DAE8BD" w14:textId="77777777" w:rsidR="00496C59" w:rsidRDefault="00496C59" w:rsidP="00496C59">
      <w:pPr>
        <w:pStyle w:val="ListParagraph"/>
        <w:ind w:left="0"/>
        <w:rPr>
          <w:b w:val="0"/>
        </w:rPr>
      </w:pPr>
    </w:p>
    <w:p w14:paraId="5A1F7001" w14:textId="77777777" w:rsidR="008905AE" w:rsidRDefault="008905AE" w:rsidP="00496C59">
      <w:pPr>
        <w:pStyle w:val="ListParagraph"/>
        <w:numPr>
          <w:ilvl w:val="0"/>
          <w:numId w:val="1"/>
        </w:numPr>
        <w:rPr>
          <w:b w:val="0"/>
        </w:rPr>
      </w:pPr>
      <w:r>
        <w:rPr>
          <w:b w:val="0"/>
        </w:rPr>
        <w:t>Impact case studies must meet the eligibility criteria set out in the ‘Guidance on submissions’ at paragraph 311.</w:t>
      </w:r>
    </w:p>
    <w:p w14:paraId="0318ABEF" w14:textId="77777777" w:rsidR="008905AE" w:rsidRPr="00FC5A55" w:rsidRDefault="008905AE" w:rsidP="00041169"/>
    <w:p w14:paraId="6488B3EF" w14:textId="77777777" w:rsidR="008905AE" w:rsidRDefault="00FC5A55" w:rsidP="00A65E15">
      <w:pPr>
        <w:pStyle w:val="ListParagraph"/>
        <w:keepNext/>
        <w:numPr>
          <w:ilvl w:val="0"/>
          <w:numId w:val="1"/>
        </w:numPr>
        <w:rPr>
          <w:b w:val="0"/>
        </w:rPr>
      </w:pPr>
      <w:r>
        <w:rPr>
          <w:b w:val="0"/>
        </w:rPr>
        <w:t>Within the sample of impact case studies to be audited, we will verify the dates when the underpinning research was published (with reference to the outputs listed in section B3 of the impact template), to establish that:</w:t>
      </w:r>
    </w:p>
    <w:p w14:paraId="6B6BB5EF" w14:textId="77777777" w:rsidR="00FC5A55" w:rsidRPr="00FC5A55" w:rsidRDefault="00FC5A55" w:rsidP="00A65E15">
      <w:pPr>
        <w:pStyle w:val="ListParagraph"/>
        <w:keepNext/>
        <w:rPr>
          <w:b w:val="0"/>
        </w:rPr>
      </w:pPr>
    </w:p>
    <w:p w14:paraId="1E2F8810" w14:textId="77777777" w:rsidR="00FC5A55" w:rsidRDefault="00FC5A55" w:rsidP="00FC5A55">
      <w:pPr>
        <w:pStyle w:val="ListParagraph"/>
        <w:numPr>
          <w:ilvl w:val="1"/>
          <w:numId w:val="1"/>
        </w:numPr>
        <w:rPr>
          <w:b w:val="0"/>
        </w:rPr>
      </w:pPr>
      <w:r>
        <w:rPr>
          <w:b w:val="0"/>
        </w:rPr>
        <w:t xml:space="preserve">The research was undertaken by staff working in the unit </w:t>
      </w:r>
      <w:r w:rsidRPr="00FC5A55">
        <w:rPr>
          <w:b w:val="0"/>
        </w:rPr>
        <w:t>in the period 1 January 2000 to 31</w:t>
      </w:r>
      <w:r>
        <w:rPr>
          <w:b w:val="0"/>
        </w:rPr>
        <w:t xml:space="preserve"> December 2020.</w:t>
      </w:r>
    </w:p>
    <w:p w14:paraId="20839991" w14:textId="77777777" w:rsidR="00FC5A55" w:rsidRDefault="00FC5A55" w:rsidP="00041169">
      <w:pPr>
        <w:pStyle w:val="ListParagraph"/>
        <w:numPr>
          <w:ilvl w:val="1"/>
          <w:numId w:val="1"/>
        </w:numPr>
        <w:rPr>
          <w:b w:val="0"/>
        </w:rPr>
      </w:pPr>
      <w:r>
        <w:rPr>
          <w:b w:val="0"/>
        </w:rPr>
        <w:t xml:space="preserve">The research outputs were first made publicly available </w:t>
      </w:r>
      <w:r w:rsidRPr="00FC5A55">
        <w:rPr>
          <w:b w:val="0"/>
        </w:rPr>
        <w:t>in the period 1 January 2000 to 31</w:t>
      </w:r>
      <w:r>
        <w:rPr>
          <w:b w:val="0"/>
        </w:rPr>
        <w:t xml:space="preserve"> December 2020.</w:t>
      </w:r>
    </w:p>
    <w:p w14:paraId="73A71BA6" w14:textId="77777777" w:rsidR="008905AE" w:rsidRDefault="008905AE" w:rsidP="00041169">
      <w:pPr>
        <w:pStyle w:val="ListParagraph"/>
        <w:ind w:left="0"/>
        <w:rPr>
          <w:b w:val="0"/>
        </w:rPr>
      </w:pPr>
    </w:p>
    <w:p w14:paraId="6CDCB68C" w14:textId="77777777" w:rsidR="00C44725" w:rsidRDefault="008355A3" w:rsidP="00496C59">
      <w:pPr>
        <w:pStyle w:val="ListParagraph"/>
        <w:numPr>
          <w:ilvl w:val="0"/>
          <w:numId w:val="1"/>
        </w:numPr>
        <w:rPr>
          <w:b w:val="0"/>
        </w:rPr>
      </w:pPr>
      <w:r w:rsidRPr="0006341F">
        <w:rPr>
          <w:b w:val="0"/>
        </w:rPr>
        <w:t>Sources to corroborate the impact (</w:t>
      </w:r>
      <w:r>
        <w:rPr>
          <w:b w:val="0"/>
        </w:rPr>
        <w:t>section B5 of the impact template</w:t>
      </w:r>
      <w:r w:rsidRPr="0006341F">
        <w:rPr>
          <w:b w:val="0"/>
        </w:rPr>
        <w:t xml:space="preserve">) should not be a substitute for providing clear evidence of impact in Section B4; the information in section </w:t>
      </w:r>
      <w:r w:rsidR="00B903B9">
        <w:rPr>
          <w:b w:val="0"/>
        </w:rPr>
        <w:t xml:space="preserve">B5 </w:t>
      </w:r>
      <w:r w:rsidRPr="0006341F">
        <w:rPr>
          <w:b w:val="0"/>
        </w:rPr>
        <w:t>will be used for audit purposes only</w:t>
      </w:r>
      <w:r w:rsidR="00D1703E" w:rsidRPr="00D1703E">
        <w:rPr>
          <w:b w:val="0"/>
        </w:rPr>
        <w:t>.</w:t>
      </w:r>
    </w:p>
    <w:p w14:paraId="6A5413D0" w14:textId="77777777" w:rsidR="008355A3" w:rsidRDefault="008355A3" w:rsidP="0006341F">
      <w:pPr>
        <w:pStyle w:val="ListParagraph"/>
        <w:ind w:left="0"/>
        <w:rPr>
          <w:b w:val="0"/>
        </w:rPr>
      </w:pPr>
    </w:p>
    <w:p w14:paraId="3689159D" w14:textId="79BE256B" w:rsidR="00496C59" w:rsidRDefault="00B84B9C" w:rsidP="00496C59">
      <w:pPr>
        <w:pStyle w:val="ListParagraph"/>
        <w:numPr>
          <w:ilvl w:val="0"/>
          <w:numId w:val="1"/>
        </w:numPr>
        <w:rPr>
          <w:b w:val="0"/>
        </w:rPr>
      </w:pPr>
      <w:r>
        <w:rPr>
          <w:b w:val="0"/>
        </w:rPr>
        <w:t>Panel members may request t</w:t>
      </w:r>
      <w:r w:rsidR="008E775D">
        <w:rPr>
          <w:b w:val="0"/>
        </w:rPr>
        <w:t>he corroborat</w:t>
      </w:r>
      <w:r w:rsidR="007D5496">
        <w:rPr>
          <w:b w:val="0"/>
        </w:rPr>
        <w:t>ing evidence in instances where they wish to raise an audit query</w:t>
      </w:r>
      <w:r w:rsidR="00496C59" w:rsidRPr="00D961AD">
        <w:rPr>
          <w:b w:val="0"/>
        </w:rPr>
        <w:t>.</w:t>
      </w:r>
      <w:r w:rsidR="004735DB">
        <w:rPr>
          <w:b w:val="0"/>
        </w:rPr>
        <w:t xml:space="preserve"> </w:t>
      </w:r>
      <w:r w:rsidR="00496C59" w:rsidRPr="00D961AD">
        <w:rPr>
          <w:b w:val="0"/>
        </w:rPr>
        <w:t>Where requested, information will be shared via a secure system with panel chairs, members, assessors, panel secretariat and observers, who are all bound by confidentiality arrangements. The information will be used to corroborate the claims made in the impact case studies and will not be anonymised</w:t>
      </w:r>
      <w:r w:rsidR="005B5C19">
        <w:rPr>
          <w:rStyle w:val="FootnoteReference"/>
          <w:b w:val="0"/>
        </w:rPr>
        <w:footnoteReference w:id="9"/>
      </w:r>
      <w:r w:rsidR="00496C59" w:rsidRPr="00D961AD">
        <w:rPr>
          <w:b w:val="0"/>
        </w:rPr>
        <w:t>.</w:t>
      </w:r>
    </w:p>
    <w:p w14:paraId="440EF5F6" w14:textId="77777777" w:rsidR="00D601E7" w:rsidRPr="00D601E7" w:rsidRDefault="00D601E7" w:rsidP="00BD465A">
      <w:pPr>
        <w:pStyle w:val="ListParagraph"/>
        <w:rPr>
          <w:b w:val="0"/>
        </w:rPr>
      </w:pPr>
    </w:p>
    <w:p w14:paraId="0CFEB49D" w14:textId="2214CC26" w:rsidR="00D601E7" w:rsidRDefault="000C1B3D" w:rsidP="00496C59">
      <w:pPr>
        <w:pStyle w:val="ListParagraph"/>
        <w:numPr>
          <w:ilvl w:val="0"/>
          <w:numId w:val="1"/>
        </w:numPr>
        <w:rPr>
          <w:b w:val="0"/>
        </w:rPr>
      </w:pPr>
      <w:r>
        <w:rPr>
          <w:b w:val="0"/>
        </w:rPr>
        <w:t>A</w:t>
      </w:r>
      <w:r w:rsidR="00C078EE">
        <w:rPr>
          <w:b w:val="0"/>
        </w:rPr>
        <w:t>s</w:t>
      </w:r>
      <w:r>
        <w:rPr>
          <w:b w:val="0"/>
        </w:rPr>
        <w:t xml:space="preserve"> part of the sample-</w:t>
      </w:r>
      <w:r w:rsidR="00C078EE">
        <w:rPr>
          <w:b w:val="0"/>
        </w:rPr>
        <w:t>based</w:t>
      </w:r>
      <w:r w:rsidR="005F0A68">
        <w:rPr>
          <w:b w:val="0"/>
        </w:rPr>
        <w:t xml:space="preserve"> and panel-instigated audits of </w:t>
      </w:r>
      <w:r w:rsidR="00066DF0" w:rsidRPr="00066DF0">
        <w:rPr>
          <w:b w:val="0"/>
        </w:rPr>
        <w:t>case studies</w:t>
      </w:r>
      <w:r w:rsidR="002C6E12">
        <w:rPr>
          <w:b w:val="0"/>
        </w:rPr>
        <w:t xml:space="preserve"> (as described in </w:t>
      </w:r>
      <w:r w:rsidR="0012399D">
        <w:rPr>
          <w:b w:val="0"/>
        </w:rPr>
        <w:t xml:space="preserve">paragraph </w:t>
      </w:r>
      <w:r w:rsidR="0012399D">
        <w:rPr>
          <w:b w:val="0"/>
        </w:rPr>
        <w:fldChar w:fldCharType="begin"/>
      </w:r>
      <w:r w:rsidR="0012399D">
        <w:rPr>
          <w:b w:val="0"/>
        </w:rPr>
        <w:instrText xml:space="preserve"> REF _Ref10645732 \r \h </w:instrText>
      </w:r>
      <w:r w:rsidR="0012399D">
        <w:rPr>
          <w:b w:val="0"/>
        </w:rPr>
      </w:r>
      <w:r w:rsidR="0012399D">
        <w:rPr>
          <w:b w:val="0"/>
        </w:rPr>
        <w:fldChar w:fldCharType="separate"/>
      </w:r>
      <w:r w:rsidR="00FE72ED">
        <w:rPr>
          <w:b w:val="0"/>
        </w:rPr>
        <w:t>57</w:t>
      </w:r>
      <w:r w:rsidR="0012399D">
        <w:rPr>
          <w:b w:val="0"/>
        </w:rPr>
        <w:fldChar w:fldCharType="end"/>
      </w:r>
      <w:r w:rsidR="0012399D">
        <w:rPr>
          <w:b w:val="0"/>
        </w:rPr>
        <w:t xml:space="preserve"> above</w:t>
      </w:r>
      <w:r w:rsidR="002C6E12">
        <w:rPr>
          <w:b w:val="0"/>
        </w:rPr>
        <w:t>)</w:t>
      </w:r>
      <w:r w:rsidR="00C0559D">
        <w:rPr>
          <w:b w:val="0"/>
        </w:rPr>
        <w:t>,</w:t>
      </w:r>
      <w:r w:rsidR="00C0559D" w:rsidRPr="00066DF0">
        <w:rPr>
          <w:b w:val="0"/>
        </w:rPr>
        <w:t xml:space="preserve"> </w:t>
      </w:r>
      <w:r w:rsidR="00C13720">
        <w:rPr>
          <w:b w:val="0"/>
        </w:rPr>
        <w:t xml:space="preserve">we </w:t>
      </w:r>
      <w:r w:rsidR="00066DF0" w:rsidRPr="00066DF0">
        <w:rPr>
          <w:b w:val="0"/>
        </w:rPr>
        <w:t>will examine the</w:t>
      </w:r>
      <w:r w:rsidR="00CF5AB3">
        <w:rPr>
          <w:b w:val="0"/>
        </w:rPr>
        <w:t xml:space="preserve"> external</w:t>
      </w:r>
      <w:r w:rsidR="00066DF0" w:rsidRPr="00066DF0">
        <w:rPr>
          <w:b w:val="0"/>
        </w:rPr>
        <w:t xml:space="preserve"> sources </w:t>
      </w:r>
      <w:r w:rsidR="00CF5AB3" w:rsidRPr="00D1703E">
        <w:rPr>
          <w:b w:val="0"/>
        </w:rPr>
        <w:t>of information that could corroborate claims made</w:t>
      </w:r>
      <w:r w:rsidR="00066DF0" w:rsidRPr="00066DF0">
        <w:rPr>
          <w:b w:val="0"/>
        </w:rPr>
        <w:t>.</w:t>
      </w:r>
    </w:p>
    <w:p w14:paraId="2263A123" w14:textId="77777777" w:rsidR="00AC060B" w:rsidRPr="00AC060B" w:rsidRDefault="00AC060B" w:rsidP="00BD465A">
      <w:pPr>
        <w:pStyle w:val="ListParagraph"/>
        <w:rPr>
          <w:b w:val="0"/>
        </w:rPr>
      </w:pPr>
    </w:p>
    <w:p w14:paraId="632974BC" w14:textId="0EAE80E5" w:rsidR="00AC060B" w:rsidRPr="00316960" w:rsidRDefault="00316960" w:rsidP="00496C59">
      <w:pPr>
        <w:pStyle w:val="ListParagraph"/>
        <w:numPr>
          <w:ilvl w:val="0"/>
          <w:numId w:val="1"/>
        </w:numPr>
        <w:rPr>
          <w:b w:val="0"/>
        </w:rPr>
      </w:pPr>
      <w:r w:rsidRPr="00BD465A">
        <w:rPr>
          <w:b w:val="0"/>
        </w:rPr>
        <w:t xml:space="preserve">Where corroborating evidence is reviewed </w:t>
      </w:r>
      <w:proofErr w:type="gramStart"/>
      <w:r w:rsidRPr="00BD465A">
        <w:rPr>
          <w:b w:val="0"/>
        </w:rPr>
        <w:t>as a consequence of</w:t>
      </w:r>
      <w:proofErr w:type="gramEnd"/>
      <w:r w:rsidRPr="00BD465A">
        <w:rPr>
          <w:b w:val="0"/>
        </w:rPr>
        <w:t xml:space="preserve"> audit, it will be used solely to verify the claims made about the impact. Additional information included in such evidence will not be used to supplement or strengthen the </w:t>
      </w:r>
      <w:r w:rsidR="00DA46A8" w:rsidRPr="00BD465A">
        <w:rPr>
          <w:b w:val="0"/>
        </w:rPr>
        <w:t xml:space="preserve">narrative </w:t>
      </w:r>
      <w:r w:rsidR="00DA46A8">
        <w:rPr>
          <w:b w:val="0"/>
        </w:rPr>
        <w:t xml:space="preserve">of the </w:t>
      </w:r>
      <w:r w:rsidRPr="00BD465A">
        <w:rPr>
          <w:b w:val="0"/>
        </w:rPr>
        <w:t>impact case study.</w:t>
      </w:r>
    </w:p>
    <w:p w14:paraId="487032E7" w14:textId="77777777" w:rsidR="00496C59" w:rsidRPr="00D961AD" w:rsidRDefault="00496C59" w:rsidP="00496C59"/>
    <w:p w14:paraId="135DA342" w14:textId="2C0E63D2" w:rsidR="00496C59" w:rsidRPr="00D961AD" w:rsidRDefault="00496C59" w:rsidP="00496C59">
      <w:pPr>
        <w:pStyle w:val="ListParagraph"/>
        <w:numPr>
          <w:ilvl w:val="0"/>
          <w:numId w:val="1"/>
        </w:numPr>
        <w:rPr>
          <w:b w:val="0"/>
        </w:rPr>
      </w:pPr>
      <w:r w:rsidRPr="00D961AD">
        <w:rPr>
          <w:b w:val="0"/>
        </w:rPr>
        <w:t xml:space="preserve">The onus is on submitting units to provide appropriate evidence within each case study of the </w:t>
      </w:r>
      <w:proofErr w:type="gramStart"/>
      <w:r w:rsidRPr="00D961AD">
        <w:rPr>
          <w:b w:val="0"/>
        </w:rPr>
        <w:t>particular impact</w:t>
      </w:r>
      <w:proofErr w:type="gramEnd"/>
      <w:r w:rsidRPr="00D961AD">
        <w:rPr>
          <w:b w:val="0"/>
        </w:rPr>
        <w:t xml:space="preserve"> claimed. The REF panels provide guidance in the ‘Panel criteria’ about the kinds of evidence and indicators of impact they would consider appropriate to research in their respective UOAs, </w:t>
      </w:r>
      <w:r w:rsidR="00D41CF3">
        <w:rPr>
          <w:b w:val="0"/>
        </w:rPr>
        <w:t>although</w:t>
      </w:r>
      <w:r w:rsidR="00D41CF3" w:rsidRPr="00D961AD">
        <w:rPr>
          <w:b w:val="0"/>
        </w:rPr>
        <w:t xml:space="preserve"> </w:t>
      </w:r>
      <w:r w:rsidRPr="00D961AD">
        <w:rPr>
          <w:b w:val="0"/>
        </w:rPr>
        <w:t>this guidance is not exhaustive. Evidence may include relevant extracts of staff contracts, records of research grants, or other appropriate evidence.</w:t>
      </w:r>
      <w:r w:rsidR="004735DB">
        <w:rPr>
          <w:b w:val="0"/>
        </w:rPr>
        <w:t xml:space="preserve"> </w:t>
      </w:r>
      <w:r w:rsidR="00DB1ED7">
        <w:rPr>
          <w:b w:val="0"/>
        </w:rPr>
        <w:t xml:space="preserve">Information in the </w:t>
      </w:r>
      <w:r w:rsidR="005A0140" w:rsidRPr="005A0140">
        <w:rPr>
          <w:b w:val="0"/>
        </w:rPr>
        <w:t>additional contextual data section</w:t>
      </w:r>
      <w:r w:rsidR="005A0140">
        <w:rPr>
          <w:b w:val="0"/>
        </w:rPr>
        <w:t xml:space="preserve"> </w:t>
      </w:r>
      <w:r w:rsidR="008A2ECE">
        <w:rPr>
          <w:b w:val="0"/>
        </w:rPr>
        <w:t>with</w:t>
      </w:r>
      <w:r w:rsidR="005A0140">
        <w:rPr>
          <w:b w:val="0"/>
        </w:rPr>
        <w:t xml:space="preserve">in the submissions system may be compared with </w:t>
      </w:r>
      <w:r w:rsidR="00F42453">
        <w:rPr>
          <w:b w:val="0"/>
        </w:rPr>
        <w:t>the UKRI Gateway</w:t>
      </w:r>
      <w:r w:rsidR="006805D1">
        <w:rPr>
          <w:b w:val="0"/>
        </w:rPr>
        <w:t xml:space="preserve"> to Research</w:t>
      </w:r>
      <w:r w:rsidR="008A2ECE">
        <w:rPr>
          <w:rStyle w:val="FootnoteReference"/>
          <w:b w:val="0"/>
        </w:rPr>
        <w:footnoteReference w:id="10"/>
      </w:r>
      <w:r w:rsidR="00F42453">
        <w:rPr>
          <w:b w:val="0"/>
        </w:rPr>
        <w:t xml:space="preserve"> </w:t>
      </w:r>
      <w:r w:rsidR="00EF2E43">
        <w:rPr>
          <w:b w:val="0"/>
        </w:rPr>
        <w:t xml:space="preserve">and used as </w:t>
      </w:r>
      <w:r w:rsidR="00EF2E43" w:rsidRPr="00EF2E43">
        <w:rPr>
          <w:b w:val="0"/>
        </w:rPr>
        <w:t xml:space="preserve">evidence of the period </w:t>
      </w:r>
      <w:r w:rsidR="00B554CA">
        <w:rPr>
          <w:b w:val="0"/>
        </w:rPr>
        <w:t xml:space="preserve">during </w:t>
      </w:r>
      <w:r w:rsidR="006A5A8D">
        <w:rPr>
          <w:b w:val="0"/>
        </w:rPr>
        <w:t>which</w:t>
      </w:r>
      <w:r w:rsidR="00EF2E43" w:rsidRPr="00EF2E43">
        <w:rPr>
          <w:b w:val="0"/>
        </w:rPr>
        <w:t xml:space="preserve"> the research was produced</w:t>
      </w:r>
      <w:r w:rsidR="00EF2E43">
        <w:rPr>
          <w:b w:val="0"/>
        </w:rPr>
        <w:t>.</w:t>
      </w:r>
    </w:p>
    <w:p w14:paraId="0A4CDE91" w14:textId="77777777" w:rsidR="009076C8" w:rsidRPr="00D961AD" w:rsidRDefault="009076C8" w:rsidP="00496C59">
      <w:pPr>
        <w:pStyle w:val="ListParagraph"/>
        <w:ind w:left="0"/>
        <w:rPr>
          <w:b w:val="0"/>
        </w:rPr>
      </w:pPr>
    </w:p>
    <w:p w14:paraId="42030E02" w14:textId="77777777" w:rsidR="00496C59" w:rsidRDefault="00496C59" w:rsidP="00206B67">
      <w:pPr>
        <w:pStyle w:val="ListParagraph"/>
        <w:keepNext/>
        <w:numPr>
          <w:ilvl w:val="0"/>
          <w:numId w:val="1"/>
        </w:numPr>
        <w:rPr>
          <w:b w:val="0"/>
        </w:rPr>
      </w:pPr>
      <w:r w:rsidRPr="00D961AD">
        <w:rPr>
          <w:b w:val="0"/>
        </w:rPr>
        <w:lastRenderedPageBreak/>
        <w:t xml:space="preserve">To corroborate claims about the impact, we will use one or more sources of corroboration that have been listed in section </w:t>
      </w:r>
      <w:r w:rsidR="00016078">
        <w:rPr>
          <w:b w:val="0"/>
        </w:rPr>
        <w:t>B</w:t>
      </w:r>
      <w:r w:rsidRPr="00D961AD">
        <w:rPr>
          <w:b w:val="0"/>
        </w:rPr>
        <w:t>5 of the case study template</w:t>
      </w:r>
      <w:r w:rsidR="007B0606">
        <w:rPr>
          <w:b w:val="0"/>
        </w:rPr>
        <w:t>.</w:t>
      </w:r>
      <w:r w:rsidR="004735DB">
        <w:rPr>
          <w:b w:val="0"/>
        </w:rPr>
        <w:t xml:space="preserve"> </w:t>
      </w:r>
      <w:r w:rsidR="007B0606">
        <w:rPr>
          <w:b w:val="0"/>
        </w:rPr>
        <w:t>For example</w:t>
      </w:r>
      <w:r w:rsidRPr="00D961AD">
        <w:rPr>
          <w:b w:val="0"/>
        </w:rPr>
        <w:t>:</w:t>
      </w:r>
    </w:p>
    <w:p w14:paraId="0A3D3873" w14:textId="77777777" w:rsidR="004E630E" w:rsidRPr="00D961AD" w:rsidRDefault="004E630E" w:rsidP="0003487C">
      <w:pPr>
        <w:pStyle w:val="ListParagraph"/>
        <w:keepNext/>
        <w:ind w:left="0"/>
        <w:rPr>
          <w:b w:val="0"/>
        </w:rPr>
      </w:pPr>
    </w:p>
    <w:p w14:paraId="69AB3F75" w14:textId="3F1837F8" w:rsidR="00496C59" w:rsidRPr="00D961AD" w:rsidRDefault="00600DFE" w:rsidP="00496C59">
      <w:pPr>
        <w:pStyle w:val="ListParagraph"/>
        <w:numPr>
          <w:ilvl w:val="1"/>
          <w:numId w:val="1"/>
        </w:numPr>
        <w:rPr>
          <w:b w:val="0"/>
        </w:rPr>
      </w:pPr>
      <w:r>
        <w:rPr>
          <w:b w:val="0"/>
        </w:rPr>
        <w:t>We may examine t</w:t>
      </w:r>
      <w:r w:rsidR="00496C59">
        <w:rPr>
          <w:b w:val="0"/>
        </w:rPr>
        <w:t>he</w:t>
      </w:r>
      <w:r w:rsidR="00496C59" w:rsidRPr="00D961AD">
        <w:rPr>
          <w:b w:val="0"/>
        </w:rPr>
        <w:t xml:space="preserve"> corroborating evidence submitted </w:t>
      </w:r>
      <w:r w:rsidR="00496C59">
        <w:rPr>
          <w:b w:val="0"/>
        </w:rPr>
        <w:t>by the HEI.</w:t>
      </w:r>
    </w:p>
    <w:p w14:paraId="69AE67BC" w14:textId="77777777" w:rsidR="00496C59" w:rsidRPr="00D961AD" w:rsidRDefault="00496C59" w:rsidP="00496C59">
      <w:pPr>
        <w:pStyle w:val="ListParagraph"/>
        <w:numPr>
          <w:ilvl w:val="1"/>
          <w:numId w:val="1"/>
        </w:numPr>
        <w:rPr>
          <w:b w:val="0"/>
        </w:rPr>
      </w:pPr>
      <w:r w:rsidRPr="00D961AD">
        <w:rPr>
          <w:b w:val="0"/>
        </w:rPr>
        <w:t xml:space="preserve">We may contact </w:t>
      </w:r>
      <w:r w:rsidR="0061036C">
        <w:rPr>
          <w:b w:val="0"/>
        </w:rPr>
        <w:t>one or more</w:t>
      </w:r>
      <w:r w:rsidR="0061036C" w:rsidRPr="00D961AD">
        <w:rPr>
          <w:b w:val="0"/>
        </w:rPr>
        <w:t xml:space="preserve"> </w:t>
      </w:r>
      <w:r w:rsidRPr="00D961AD">
        <w:rPr>
          <w:b w:val="0"/>
        </w:rPr>
        <w:t>user</w:t>
      </w:r>
      <w:r w:rsidR="0061036C">
        <w:rPr>
          <w:b w:val="0"/>
        </w:rPr>
        <w:t>s/beneficiaries</w:t>
      </w:r>
      <w:r w:rsidRPr="00D961AD">
        <w:rPr>
          <w:b w:val="0"/>
        </w:rPr>
        <w:t xml:space="preserve"> whose contact details have been provided, to seek corroboration directly from them.</w:t>
      </w:r>
    </w:p>
    <w:p w14:paraId="62CE7747" w14:textId="77777777" w:rsidR="00496C59" w:rsidRPr="000D15BA" w:rsidRDefault="00496C59" w:rsidP="00496C59">
      <w:pPr>
        <w:pStyle w:val="ListParagraph"/>
        <w:numPr>
          <w:ilvl w:val="1"/>
          <w:numId w:val="1"/>
        </w:numPr>
        <w:rPr>
          <w:b w:val="0"/>
        </w:rPr>
      </w:pPr>
      <w:r w:rsidRPr="00D961AD">
        <w:rPr>
          <w:b w:val="0"/>
        </w:rPr>
        <w:t>Sub-panels may refer to any publicly available material listed.</w:t>
      </w:r>
    </w:p>
    <w:p w14:paraId="25C2D2C9" w14:textId="77777777" w:rsidR="00512E75" w:rsidRDefault="00512E75" w:rsidP="00B54DD5">
      <w:pPr>
        <w:pStyle w:val="ListParagraph"/>
        <w:ind w:left="0"/>
        <w:rPr>
          <w:b w:val="0"/>
        </w:rPr>
      </w:pPr>
    </w:p>
    <w:p w14:paraId="3E1D2364" w14:textId="77777777" w:rsidR="001D1111" w:rsidRDefault="00306AD6" w:rsidP="00496C59">
      <w:pPr>
        <w:pStyle w:val="ListParagraph"/>
        <w:numPr>
          <w:ilvl w:val="0"/>
          <w:numId w:val="1"/>
        </w:numPr>
        <w:rPr>
          <w:b w:val="0"/>
        </w:rPr>
      </w:pPr>
      <w:r>
        <w:rPr>
          <w:b w:val="0"/>
        </w:rPr>
        <w:t xml:space="preserve">Underpinning research </w:t>
      </w:r>
      <w:r w:rsidR="005B3495">
        <w:rPr>
          <w:b w:val="0"/>
        </w:rPr>
        <w:t xml:space="preserve">listed in section B3 of the impact </w:t>
      </w:r>
      <w:r w:rsidR="005B3495" w:rsidRPr="00D961AD">
        <w:rPr>
          <w:b w:val="0"/>
        </w:rPr>
        <w:t>case study template</w:t>
      </w:r>
      <w:r w:rsidR="005B3495">
        <w:rPr>
          <w:b w:val="0"/>
        </w:rPr>
        <w:t xml:space="preserve"> may be subject to audit.</w:t>
      </w:r>
      <w:r w:rsidR="004735DB">
        <w:rPr>
          <w:b w:val="0"/>
        </w:rPr>
        <w:t xml:space="preserve"> </w:t>
      </w:r>
      <w:r w:rsidR="000B7D9E">
        <w:rPr>
          <w:b w:val="0"/>
        </w:rPr>
        <w:t xml:space="preserve">HEIs may cite a minimum of </w:t>
      </w:r>
      <w:r w:rsidR="00FC7C3E">
        <w:rPr>
          <w:b w:val="0"/>
        </w:rPr>
        <w:t>one and a maximum of six outputs in this section.</w:t>
      </w:r>
      <w:r w:rsidR="004735DB">
        <w:rPr>
          <w:b w:val="0"/>
        </w:rPr>
        <w:t xml:space="preserve"> </w:t>
      </w:r>
      <w:r w:rsidR="00E5690D" w:rsidRPr="001526F3">
        <w:rPr>
          <w:b w:val="0"/>
        </w:rPr>
        <w:t>All outputs cited in this section must be capable of being made available to panels. If they are not available in the public domain or listed in REF2, the HEI must be able to provide them if requested by the REF team.</w:t>
      </w:r>
    </w:p>
    <w:p w14:paraId="7EE379E8" w14:textId="77777777" w:rsidR="00421E97" w:rsidRDefault="00421E97" w:rsidP="001526F3">
      <w:pPr>
        <w:pStyle w:val="ListParagraph"/>
        <w:ind w:left="0"/>
        <w:rPr>
          <w:b w:val="0"/>
        </w:rPr>
      </w:pPr>
    </w:p>
    <w:p w14:paraId="77C8BD87" w14:textId="77777777" w:rsidR="0006341F" w:rsidRDefault="003C781A" w:rsidP="00496C59">
      <w:pPr>
        <w:pStyle w:val="ListParagraph"/>
        <w:numPr>
          <w:ilvl w:val="0"/>
          <w:numId w:val="1"/>
        </w:numPr>
        <w:rPr>
          <w:b w:val="0"/>
        </w:rPr>
      </w:pPr>
      <w:r>
        <w:rPr>
          <w:b w:val="0"/>
        </w:rPr>
        <w:t>Where</w:t>
      </w:r>
      <w:r w:rsidR="00421E97" w:rsidRPr="00206B67">
        <w:rPr>
          <w:b w:val="0"/>
        </w:rPr>
        <w:t xml:space="preserve"> case studies</w:t>
      </w:r>
      <w:r w:rsidR="00076633">
        <w:rPr>
          <w:b w:val="0"/>
        </w:rPr>
        <w:t xml:space="preserve"> requiring security clearance for assessment</w:t>
      </w:r>
      <w:r w:rsidR="00133BD6">
        <w:rPr>
          <w:b w:val="0"/>
        </w:rPr>
        <w:t xml:space="preserve"> require</w:t>
      </w:r>
      <w:r w:rsidR="00BB11A4" w:rsidRPr="00206B67">
        <w:rPr>
          <w:b w:val="0"/>
        </w:rPr>
        <w:t xml:space="preserve"> audit</w:t>
      </w:r>
      <w:r w:rsidR="00133BD6">
        <w:rPr>
          <w:b w:val="0"/>
        </w:rPr>
        <w:t>,</w:t>
      </w:r>
      <w:r w:rsidR="00BB11A4" w:rsidRPr="00AD64EF">
        <w:rPr>
          <w:b w:val="0"/>
        </w:rPr>
        <w:t xml:space="preserve"> the audit will be </w:t>
      </w:r>
      <w:r w:rsidR="00133BD6">
        <w:rPr>
          <w:b w:val="0"/>
        </w:rPr>
        <w:t>undertaken</w:t>
      </w:r>
      <w:r w:rsidR="00133BD6" w:rsidRPr="00AD64EF">
        <w:rPr>
          <w:b w:val="0"/>
        </w:rPr>
        <w:t xml:space="preserve"> </w:t>
      </w:r>
      <w:r w:rsidR="00BB11A4" w:rsidRPr="00AD64EF">
        <w:rPr>
          <w:b w:val="0"/>
        </w:rPr>
        <w:t>by the security-cleared assessors</w:t>
      </w:r>
      <w:r w:rsidR="006D41FD">
        <w:rPr>
          <w:b w:val="0"/>
        </w:rPr>
        <w:t xml:space="preserve">, including the verification of </w:t>
      </w:r>
      <w:r w:rsidR="00B773D3">
        <w:rPr>
          <w:b w:val="0"/>
        </w:rPr>
        <w:t xml:space="preserve">corroborating claims. </w:t>
      </w:r>
      <w:r w:rsidR="00695B67">
        <w:rPr>
          <w:b w:val="0"/>
        </w:rPr>
        <w:t>Underpinning research that requires security clearance will be verified by the security-cleared assessors.</w:t>
      </w:r>
    </w:p>
    <w:p w14:paraId="6B1BD4CF" w14:textId="77777777" w:rsidR="001D1111" w:rsidRDefault="001D1111" w:rsidP="0006341F">
      <w:pPr>
        <w:pStyle w:val="ListParagraph"/>
        <w:ind w:left="0"/>
        <w:rPr>
          <w:b w:val="0"/>
        </w:rPr>
      </w:pPr>
    </w:p>
    <w:p w14:paraId="25BFF147" w14:textId="4753A224" w:rsidR="00496C59" w:rsidRDefault="00496C59" w:rsidP="00496C59">
      <w:pPr>
        <w:pStyle w:val="ListParagraph"/>
        <w:numPr>
          <w:ilvl w:val="0"/>
          <w:numId w:val="1"/>
        </w:numPr>
        <w:rPr>
          <w:b w:val="0"/>
        </w:rPr>
      </w:pPr>
      <w:r w:rsidRPr="00D961AD">
        <w:rPr>
          <w:b w:val="0"/>
        </w:rPr>
        <w:t xml:space="preserve">Impact case studies can be audited at any time </w:t>
      </w:r>
      <w:r w:rsidR="007E06D1">
        <w:rPr>
          <w:b w:val="0"/>
        </w:rPr>
        <w:t>during</w:t>
      </w:r>
      <w:r w:rsidR="007E06D1" w:rsidRPr="00D961AD">
        <w:rPr>
          <w:b w:val="0"/>
        </w:rPr>
        <w:t xml:space="preserve"> </w:t>
      </w:r>
      <w:r w:rsidRPr="00D961AD">
        <w:rPr>
          <w:b w:val="0"/>
        </w:rPr>
        <w:t>the assessment period</w:t>
      </w:r>
      <w:r w:rsidR="00951031">
        <w:rPr>
          <w:b w:val="0"/>
        </w:rPr>
        <w:t>, with</w:t>
      </w:r>
      <w:r w:rsidRPr="00D961AD">
        <w:rPr>
          <w:b w:val="0"/>
        </w:rPr>
        <w:t xml:space="preserve"> the bulk of requests occur</w:t>
      </w:r>
      <w:r w:rsidR="006302F4">
        <w:rPr>
          <w:b w:val="0"/>
        </w:rPr>
        <w:t>r</w:t>
      </w:r>
      <w:r w:rsidR="00951031">
        <w:rPr>
          <w:b w:val="0"/>
        </w:rPr>
        <w:t>ing</w:t>
      </w:r>
      <w:r w:rsidRPr="00D961AD">
        <w:rPr>
          <w:b w:val="0"/>
        </w:rPr>
        <w:t xml:space="preserve"> between March and June 20</w:t>
      </w:r>
      <w:r>
        <w:rPr>
          <w:b w:val="0"/>
        </w:rPr>
        <w:t>21</w:t>
      </w:r>
      <w:r w:rsidRPr="00D961AD">
        <w:rPr>
          <w:b w:val="0"/>
        </w:rPr>
        <w:t>.</w:t>
      </w:r>
    </w:p>
    <w:p w14:paraId="4F97EFCF" w14:textId="77777777" w:rsidR="00496C59" w:rsidRDefault="00496C59" w:rsidP="00496C59">
      <w:pPr>
        <w:pStyle w:val="ListParagraph"/>
        <w:ind w:left="0"/>
        <w:rPr>
          <w:b w:val="0"/>
        </w:rPr>
      </w:pPr>
    </w:p>
    <w:p w14:paraId="12D7A8D3" w14:textId="41321919" w:rsidR="00496C59" w:rsidRPr="00BA7DD2" w:rsidRDefault="00496C59" w:rsidP="00496C59">
      <w:pPr>
        <w:pStyle w:val="ListParagraph"/>
        <w:numPr>
          <w:ilvl w:val="0"/>
          <w:numId w:val="1"/>
        </w:numPr>
        <w:rPr>
          <w:b w:val="0"/>
        </w:rPr>
      </w:pPr>
      <w:r w:rsidRPr="00D961AD">
        <w:rPr>
          <w:b w:val="0"/>
        </w:rPr>
        <w:t xml:space="preserve">Where a specific claim made within </w:t>
      </w:r>
      <w:r w:rsidR="00892111">
        <w:rPr>
          <w:b w:val="0"/>
        </w:rPr>
        <w:t>an</w:t>
      </w:r>
      <w:r w:rsidR="00892111" w:rsidRPr="00D961AD">
        <w:rPr>
          <w:b w:val="0"/>
        </w:rPr>
        <w:t xml:space="preserve"> </w:t>
      </w:r>
      <w:r w:rsidRPr="00D961AD">
        <w:rPr>
          <w:b w:val="0"/>
        </w:rPr>
        <w:t xml:space="preserve">impact case study is not corroborated through audit, the sub-panel will disregard this claim when making </w:t>
      </w:r>
      <w:r w:rsidR="00463372">
        <w:rPr>
          <w:b w:val="0"/>
        </w:rPr>
        <w:t>its</w:t>
      </w:r>
      <w:r w:rsidR="00463372" w:rsidRPr="00D961AD">
        <w:rPr>
          <w:b w:val="0"/>
        </w:rPr>
        <w:t xml:space="preserve"> </w:t>
      </w:r>
      <w:r w:rsidRPr="00D961AD">
        <w:rPr>
          <w:b w:val="0"/>
        </w:rPr>
        <w:t xml:space="preserve">assessment. If the eligibility of the impact case study </w:t>
      </w:r>
      <w:r>
        <w:rPr>
          <w:b w:val="0"/>
        </w:rPr>
        <w:t xml:space="preserve">cannot be verified, </w:t>
      </w:r>
      <w:r w:rsidRPr="00D961AD">
        <w:rPr>
          <w:b w:val="0"/>
        </w:rPr>
        <w:t>it will be graded as ‘unclassified’.</w:t>
      </w:r>
    </w:p>
    <w:p w14:paraId="76746B35" w14:textId="77777777" w:rsidR="00496C59" w:rsidRDefault="00496C59" w:rsidP="00496C59">
      <w:pPr>
        <w:pStyle w:val="ListParagraph"/>
        <w:ind w:left="0"/>
        <w:rPr>
          <w:b w:val="0"/>
          <w:szCs w:val="20"/>
        </w:rPr>
      </w:pPr>
    </w:p>
    <w:p w14:paraId="6B41D82C" w14:textId="39F9ACB9" w:rsidR="00496C59" w:rsidRPr="0003487C" w:rsidRDefault="00496C59" w:rsidP="00860F62">
      <w:pPr>
        <w:pStyle w:val="ListParagraph"/>
        <w:keepNext/>
        <w:ind w:left="0"/>
        <w:rPr>
          <w:sz w:val="24"/>
          <w:szCs w:val="24"/>
        </w:rPr>
      </w:pPr>
      <w:r w:rsidRPr="00A65E15">
        <w:rPr>
          <w:sz w:val="24"/>
          <w:szCs w:val="24"/>
        </w:rPr>
        <w:t xml:space="preserve">Environment </w:t>
      </w:r>
      <w:r w:rsidR="00E372F3">
        <w:rPr>
          <w:sz w:val="24"/>
          <w:szCs w:val="24"/>
        </w:rPr>
        <w:t>d</w:t>
      </w:r>
      <w:r w:rsidRPr="0003487C">
        <w:rPr>
          <w:sz w:val="24"/>
          <w:szCs w:val="24"/>
        </w:rPr>
        <w:t>ata (REF4a/b/c)</w:t>
      </w:r>
    </w:p>
    <w:p w14:paraId="580EFD01" w14:textId="77777777" w:rsidR="00496C59" w:rsidRDefault="00496C59" w:rsidP="00860F62">
      <w:pPr>
        <w:pStyle w:val="ListParagraph"/>
        <w:keepNext/>
        <w:ind w:left="0"/>
        <w:rPr>
          <w:b w:val="0"/>
          <w:szCs w:val="20"/>
        </w:rPr>
      </w:pPr>
    </w:p>
    <w:p w14:paraId="520CF44A" w14:textId="77777777" w:rsidR="00496C59" w:rsidRDefault="00496C59" w:rsidP="00496C59">
      <w:pPr>
        <w:pStyle w:val="ListParagraph"/>
        <w:numPr>
          <w:ilvl w:val="0"/>
          <w:numId w:val="1"/>
        </w:numPr>
        <w:rPr>
          <w:b w:val="0"/>
        </w:rPr>
      </w:pPr>
      <w:r w:rsidRPr="001C7B2B">
        <w:rPr>
          <w:b w:val="0"/>
        </w:rPr>
        <w:t>The REF submission system will validate REF4 data against data held by HESA and other agencies, at HEI level. Targeted audits of environment data will</w:t>
      </w:r>
      <w:r>
        <w:rPr>
          <w:b w:val="0"/>
        </w:rPr>
        <w:t xml:space="preserve"> be carried out, where either:</w:t>
      </w:r>
    </w:p>
    <w:p w14:paraId="5604AE6C" w14:textId="77777777" w:rsidR="004E630E" w:rsidRPr="001C7B2B" w:rsidRDefault="004E630E" w:rsidP="0003487C">
      <w:pPr>
        <w:pStyle w:val="ListParagraph"/>
        <w:ind w:left="0"/>
        <w:rPr>
          <w:b w:val="0"/>
        </w:rPr>
      </w:pPr>
    </w:p>
    <w:p w14:paraId="0CA44286" w14:textId="3A640A7A" w:rsidR="00496C59" w:rsidRPr="001C7B2B" w:rsidRDefault="002B277B" w:rsidP="00496C59">
      <w:pPr>
        <w:pStyle w:val="ListParagraph"/>
        <w:numPr>
          <w:ilvl w:val="1"/>
          <w:numId w:val="1"/>
        </w:numPr>
        <w:rPr>
          <w:b w:val="0"/>
        </w:rPr>
      </w:pPr>
      <w:r>
        <w:rPr>
          <w:b w:val="0"/>
        </w:rPr>
        <w:t>T</w:t>
      </w:r>
      <w:r w:rsidR="00496C59" w:rsidRPr="001C7B2B">
        <w:rPr>
          <w:b w:val="0"/>
        </w:rPr>
        <w:t xml:space="preserve">he HEI submits REF4 data close to the submission system limits, indicating </w:t>
      </w:r>
      <w:r>
        <w:rPr>
          <w:b w:val="0"/>
        </w:rPr>
        <w:t xml:space="preserve">that </w:t>
      </w:r>
      <w:r w:rsidR="00496C59" w:rsidRPr="001C7B2B">
        <w:rPr>
          <w:b w:val="0"/>
        </w:rPr>
        <w:t>potentially ineligible data may have been returned to the REF</w:t>
      </w:r>
      <w:r w:rsidR="00496C59">
        <w:rPr>
          <w:b w:val="0"/>
        </w:rPr>
        <w:t>.</w:t>
      </w:r>
    </w:p>
    <w:p w14:paraId="1498C7A1" w14:textId="77777777" w:rsidR="00496C59" w:rsidRDefault="00496C59" w:rsidP="00496C59">
      <w:pPr>
        <w:pStyle w:val="ListParagraph"/>
        <w:numPr>
          <w:ilvl w:val="1"/>
          <w:numId w:val="1"/>
        </w:numPr>
        <w:rPr>
          <w:b w:val="0"/>
        </w:rPr>
      </w:pPr>
      <w:r w:rsidRPr="001C7B2B">
        <w:rPr>
          <w:b w:val="0"/>
        </w:rPr>
        <w:t>A comparison of REF and HESA data at subject level indicates a potential discrepancy in the way the HEI has allocated data to REF UOAs.</w:t>
      </w:r>
    </w:p>
    <w:p w14:paraId="442F20C3" w14:textId="77777777" w:rsidR="00496C59" w:rsidRDefault="00496C59" w:rsidP="00496C59">
      <w:pPr>
        <w:pStyle w:val="ListParagraph"/>
        <w:ind w:left="0"/>
        <w:rPr>
          <w:b w:val="0"/>
        </w:rPr>
      </w:pPr>
    </w:p>
    <w:p w14:paraId="5F08B84C" w14:textId="77777777" w:rsidR="00315B20" w:rsidRDefault="004E6C4C" w:rsidP="00315B20">
      <w:pPr>
        <w:pStyle w:val="ListParagraph"/>
        <w:numPr>
          <w:ilvl w:val="0"/>
          <w:numId w:val="1"/>
        </w:numPr>
        <w:rPr>
          <w:b w:val="0"/>
        </w:rPr>
      </w:pPr>
      <w:r>
        <w:rPr>
          <w:b w:val="0"/>
        </w:rPr>
        <w:t xml:space="preserve">We will align the data on </w:t>
      </w:r>
      <w:r w:rsidR="007E02CA">
        <w:rPr>
          <w:b w:val="0"/>
        </w:rPr>
        <w:t>r</w:t>
      </w:r>
      <w:r w:rsidRPr="00BD465A">
        <w:rPr>
          <w:b w:val="0"/>
        </w:rPr>
        <w:t>esearch doctoral degrees awarded (REF4a)</w:t>
      </w:r>
      <w:r w:rsidR="007E02CA">
        <w:rPr>
          <w:b w:val="0"/>
        </w:rPr>
        <w:t xml:space="preserve"> </w:t>
      </w:r>
      <w:r w:rsidR="00676FF8" w:rsidRPr="00BD465A">
        <w:rPr>
          <w:b w:val="0"/>
        </w:rPr>
        <w:t>with the HESA data and this will inform our selection of submissions to be audited.</w:t>
      </w:r>
      <w:r w:rsidR="00676FF8">
        <w:rPr>
          <w:b w:val="0"/>
        </w:rPr>
        <w:t xml:space="preserve"> </w:t>
      </w:r>
      <w:r w:rsidR="00AE1629">
        <w:rPr>
          <w:b w:val="0"/>
        </w:rPr>
        <w:t>W</w:t>
      </w:r>
      <w:r w:rsidR="006C5E53" w:rsidRPr="006C5E53">
        <w:rPr>
          <w:b w:val="0"/>
        </w:rPr>
        <w:t>e will investigate instances</w:t>
      </w:r>
      <w:r w:rsidR="006C5E53">
        <w:rPr>
          <w:b w:val="0"/>
        </w:rPr>
        <w:t xml:space="preserve"> </w:t>
      </w:r>
      <w:r w:rsidR="006C5E53" w:rsidRPr="006C5E53">
        <w:rPr>
          <w:b w:val="0"/>
        </w:rPr>
        <w:t>where there appear to be significant differences between submitted data and other returns</w:t>
      </w:r>
      <w:r w:rsidR="00315B20" w:rsidRPr="00A979D4">
        <w:rPr>
          <w:b w:val="0"/>
        </w:rPr>
        <w:t>.</w:t>
      </w:r>
      <w:r w:rsidR="00AE1629">
        <w:rPr>
          <w:b w:val="0"/>
        </w:rPr>
        <w:t xml:space="preserve"> </w:t>
      </w:r>
      <w:r w:rsidR="00AE1629" w:rsidRPr="00BD465A">
        <w:rPr>
          <w:b w:val="0"/>
        </w:rPr>
        <w:t xml:space="preserve">If audited, an institution will need to explain any significant variances with the totals submitted to HESA, and to </w:t>
      </w:r>
      <w:r w:rsidR="00EC54C7">
        <w:rPr>
          <w:b w:val="0"/>
        </w:rPr>
        <w:t>describe</w:t>
      </w:r>
      <w:r w:rsidR="00AE1629" w:rsidRPr="00BD465A">
        <w:rPr>
          <w:b w:val="0"/>
        </w:rPr>
        <w:t xml:space="preserve"> how they have allocated data to the appropriate UOAs in their REF submissions.</w:t>
      </w:r>
      <w:r w:rsidR="00DB198D" w:rsidRPr="00DB198D">
        <w:rPr>
          <w:b w:val="0"/>
        </w:rPr>
        <w:t xml:space="preserve"> </w:t>
      </w:r>
      <w:r w:rsidR="00DB198D">
        <w:rPr>
          <w:b w:val="0"/>
        </w:rPr>
        <w:t>R</w:t>
      </w:r>
      <w:r w:rsidR="00DB198D" w:rsidRPr="00BD465A">
        <w:rPr>
          <w:b w:val="0"/>
        </w:rPr>
        <w:t>esearch doctoral degrees</w:t>
      </w:r>
      <w:r w:rsidR="00042ED7">
        <w:rPr>
          <w:b w:val="0"/>
        </w:rPr>
        <w:t xml:space="preserve"> are identified in the HESA data as those that </w:t>
      </w:r>
      <w:r w:rsidR="00A257E9">
        <w:rPr>
          <w:b w:val="0"/>
        </w:rPr>
        <w:t xml:space="preserve">meet </w:t>
      </w:r>
      <w:proofErr w:type="gramStart"/>
      <w:r w:rsidR="00A257E9">
        <w:rPr>
          <w:b w:val="0"/>
        </w:rPr>
        <w:t>all of</w:t>
      </w:r>
      <w:proofErr w:type="gramEnd"/>
      <w:r w:rsidR="00A257E9">
        <w:rPr>
          <w:b w:val="0"/>
        </w:rPr>
        <w:t xml:space="preserve"> the following criteria with reference to the HESA data fields</w:t>
      </w:r>
      <w:r w:rsidR="00042ED7">
        <w:rPr>
          <w:b w:val="0"/>
        </w:rPr>
        <w:t>:</w:t>
      </w:r>
    </w:p>
    <w:p w14:paraId="6C93252E" w14:textId="77777777" w:rsidR="004E3297" w:rsidRDefault="004E3297" w:rsidP="0003487C">
      <w:pPr>
        <w:pStyle w:val="ListParagraph"/>
        <w:ind w:left="0"/>
        <w:rPr>
          <w:b w:val="0"/>
        </w:rPr>
      </w:pPr>
    </w:p>
    <w:p w14:paraId="6406534A" w14:textId="77777777" w:rsidR="00EA0949" w:rsidRDefault="00A257E9" w:rsidP="00A257E9">
      <w:pPr>
        <w:pStyle w:val="ListParagraph"/>
        <w:numPr>
          <w:ilvl w:val="1"/>
          <w:numId w:val="1"/>
        </w:numPr>
        <w:rPr>
          <w:b w:val="0"/>
        </w:rPr>
      </w:pPr>
      <w:r w:rsidRPr="00A257E9">
        <w:rPr>
          <w:b w:val="0"/>
        </w:rPr>
        <w:t>XQOBTN01 = ‘D00’ or ‘D01’ (</w:t>
      </w:r>
      <w:r w:rsidR="00EA0949">
        <w:rPr>
          <w:b w:val="0"/>
        </w:rPr>
        <w:t xml:space="preserve">note that </w:t>
      </w:r>
      <w:r w:rsidRPr="00A257E9">
        <w:rPr>
          <w:b w:val="0"/>
        </w:rPr>
        <w:t>D01 has been removed from 2017 onwards)</w:t>
      </w:r>
    </w:p>
    <w:p w14:paraId="61B62834" w14:textId="77777777" w:rsidR="00A257E9" w:rsidRPr="00A257E9" w:rsidRDefault="00A257E9" w:rsidP="00A257E9">
      <w:pPr>
        <w:pStyle w:val="ListParagraph"/>
        <w:numPr>
          <w:ilvl w:val="1"/>
          <w:numId w:val="1"/>
        </w:numPr>
        <w:rPr>
          <w:b w:val="0"/>
        </w:rPr>
      </w:pPr>
      <w:r w:rsidRPr="00A257E9">
        <w:rPr>
          <w:b w:val="0"/>
        </w:rPr>
        <w:t xml:space="preserve">XQOBTN01 is the </w:t>
      </w:r>
      <w:proofErr w:type="gramStart"/>
      <w:r w:rsidRPr="00A257E9">
        <w:rPr>
          <w:b w:val="0"/>
        </w:rPr>
        <w:t>highest ranking</w:t>
      </w:r>
      <w:proofErr w:type="gramEnd"/>
      <w:r w:rsidRPr="00A257E9">
        <w:rPr>
          <w:b w:val="0"/>
        </w:rPr>
        <w:t xml:space="preserve"> value of QUAL</w:t>
      </w:r>
    </w:p>
    <w:p w14:paraId="2431496E" w14:textId="77777777" w:rsidR="00A257E9" w:rsidRPr="00A257E9" w:rsidRDefault="00A257E9" w:rsidP="00A257E9">
      <w:pPr>
        <w:pStyle w:val="ListParagraph"/>
        <w:numPr>
          <w:ilvl w:val="1"/>
          <w:numId w:val="1"/>
        </w:numPr>
        <w:rPr>
          <w:b w:val="0"/>
        </w:rPr>
      </w:pPr>
      <w:r w:rsidRPr="00A257E9">
        <w:rPr>
          <w:b w:val="0"/>
        </w:rPr>
        <w:lastRenderedPageBreak/>
        <w:t>RSNEND = 1 or 5 (completion or death)</w:t>
      </w:r>
    </w:p>
    <w:p w14:paraId="11DAC214" w14:textId="77777777" w:rsidR="007A6431" w:rsidRDefault="00A257E9" w:rsidP="00A257E9">
      <w:pPr>
        <w:pStyle w:val="ListParagraph"/>
        <w:numPr>
          <w:ilvl w:val="1"/>
          <w:numId w:val="1"/>
        </w:numPr>
        <w:rPr>
          <w:b w:val="0"/>
        </w:rPr>
      </w:pPr>
      <w:r w:rsidRPr="00A257E9">
        <w:rPr>
          <w:b w:val="0"/>
        </w:rPr>
        <w:t>LOCSD</w:t>
      </w:r>
      <w:r w:rsidR="00FC314D">
        <w:rPr>
          <w:b w:val="0"/>
        </w:rPr>
        <w:t>Y</w:t>
      </w:r>
      <w:r w:rsidRPr="00A257E9">
        <w:rPr>
          <w:b w:val="0"/>
        </w:rPr>
        <w:t xml:space="preserve"> not ‘S’ (exclude students studying abroad)</w:t>
      </w:r>
    </w:p>
    <w:p w14:paraId="105426D3" w14:textId="77777777" w:rsidR="00042ED7" w:rsidRDefault="00A257E9" w:rsidP="0063382B">
      <w:pPr>
        <w:pStyle w:val="ListParagraph"/>
        <w:numPr>
          <w:ilvl w:val="1"/>
          <w:numId w:val="1"/>
        </w:numPr>
        <w:rPr>
          <w:b w:val="0"/>
        </w:rPr>
      </w:pPr>
      <w:r w:rsidRPr="00A257E9">
        <w:rPr>
          <w:b w:val="0"/>
        </w:rPr>
        <w:t>E</w:t>
      </w:r>
      <w:r w:rsidR="007A6431" w:rsidRPr="00A257E9">
        <w:rPr>
          <w:b w:val="0"/>
        </w:rPr>
        <w:t>XCHANGE</w:t>
      </w:r>
      <w:r w:rsidRPr="00A257E9">
        <w:rPr>
          <w:b w:val="0"/>
        </w:rPr>
        <w:t xml:space="preserve"> not </w:t>
      </w:r>
      <w:r w:rsidR="007C5605">
        <w:rPr>
          <w:b w:val="0"/>
        </w:rPr>
        <w:t>‘</w:t>
      </w:r>
      <w:r w:rsidRPr="00A257E9">
        <w:rPr>
          <w:b w:val="0"/>
        </w:rPr>
        <w:t>4’ or ‘G’ (instance is not an incoming exchange student)</w:t>
      </w:r>
    </w:p>
    <w:p w14:paraId="076230EA" w14:textId="77777777" w:rsidR="006B2547" w:rsidRDefault="006B2547" w:rsidP="00BD465A">
      <w:pPr>
        <w:pStyle w:val="ListParagraph"/>
        <w:ind w:left="0"/>
        <w:rPr>
          <w:b w:val="0"/>
        </w:rPr>
      </w:pPr>
    </w:p>
    <w:p w14:paraId="5CFB46B1" w14:textId="77777777" w:rsidR="009529C5" w:rsidRDefault="009529C5" w:rsidP="00315B20">
      <w:pPr>
        <w:pStyle w:val="ListParagraph"/>
        <w:numPr>
          <w:ilvl w:val="0"/>
          <w:numId w:val="1"/>
        </w:numPr>
        <w:rPr>
          <w:b w:val="0"/>
        </w:rPr>
      </w:pPr>
      <w:r>
        <w:rPr>
          <w:b w:val="0"/>
        </w:rPr>
        <w:t xml:space="preserve">We will align the data on </w:t>
      </w:r>
      <w:r w:rsidR="00FA7CCD">
        <w:rPr>
          <w:b w:val="0"/>
        </w:rPr>
        <w:t>r</w:t>
      </w:r>
      <w:r w:rsidRPr="00BD465A">
        <w:rPr>
          <w:b w:val="0"/>
        </w:rPr>
        <w:t>esearch income (REF4b)</w:t>
      </w:r>
      <w:r w:rsidR="008C1958">
        <w:rPr>
          <w:b w:val="0"/>
        </w:rPr>
        <w:t xml:space="preserve"> </w:t>
      </w:r>
      <w:r w:rsidR="008C1958" w:rsidRPr="003341FF">
        <w:rPr>
          <w:b w:val="0"/>
        </w:rPr>
        <w:t>with the HESA data and this will inform our selection of submissions to be audited.</w:t>
      </w:r>
      <w:r w:rsidR="008C1958">
        <w:rPr>
          <w:b w:val="0"/>
        </w:rPr>
        <w:t xml:space="preserve"> </w:t>
      </w:r>
      <w:r w:rsidR="00E01CE7">
        <w:rPr>
          <w:b w:val="0"/>
        </w:rPr>
        <w:t>W</w:t>
      </w:r>
      <w:r w:rsidR="00E01CE7" w:rsidRPr="006C5E53">
        <w:rPr>
          <w:b w:val="0"/>
        </w:rPr>
        <w:t>e will investigate instances</w:t>
      </w:r>
      <w:r w:rsidR="00E01CE7">
        <w:rPr>
          <w:b w:val="0"/>
        </w:rPr>
        <w:t xml:space="preserve"> </w:t>
      </w:r>
      <w:r w:rsidR="00E01CE7" w:rsidRPr="006C5E53">
        <w:rPr>
          <w:b w:val="0"/>
        </w:rPr>
        <w:t>where there appear to be significant differences between submitted data and other returns</w:t>
      </w:r>
      <w:r w:rsidR="00E01CE7" w:rsidRPr="00A979D4">
        <w:rPr>
          <w:b w:val="0"/>
        </w:rPr>
        <w:t>.</w:t>
      </w:r>
      <w:r w:rsidR="00E01CE7">
        <w:rPr>
          <w:b w:val="0"/>
        </w:rPr>
        <w:t xml:space="preserve"> </w:t>
      </w:r>
      <w:r w:rsidR="00E01CE7" w:rsidRPr="00BD465A">
        <w:rPr>
          <w:b w:val="0"/>
        </w:rPr>
        <w:t>If audited, an institution will need to explain any significant variances with the totals submitted to HESA, and to show how they have allocated data to the appropriate REF UOAs.</w:t>
      </w:r>
    </w:p>
    <w:p w14:paraId="2ED3CB4B" w14:textId="77777777" w:rsidR="00FF3B34" w:rsidRPr="00FF3B34" w:rsidRDefault="00FF3B34" w:rsidP="00BD465A">
      <w:pPr>
        <w:pStyle w:val="ListParagraph"/>
        <w:rPr>
          <w:b w:val="0"/>
        </w:rPr>
      </w:pPr>
    </w:p>
    <w:p w14:paraId="0E2AD1AB" w14:textId="3CACFDF7" w:rsidR="00FF3B34" w:rsidRDefault="00FA7CCD" w:rsidP="00315B20">
      <w:pPr>
        <w:pStyle w:val="ListParagraph"/>
        <w:numPr>
          <w:ilvl w:val="0"/>
          <w:numId w:val="1"/>
        </w:numPr>
        <w:rPr>
          <w:b w:val="0"/>
        </w:rPr>
      </w:pPr>
      <w:r>
        <w:rPr>
          <w:b w:val="0"/>
        </w:rPr>
        <w:t xml:space="preserve">We </w:t>
      </w:r>
      <w:r w:rsidRPr="00BD465A">
        <w:rPr>
          <w:b w:val="0"/>
        </w:rPr>
        <w:t>will compare the data on</w:t>
      </w:r>
      <w:r w:rsidRPr="001827BF">
        <w:rPr>
          <w:b w:val="0"/>
        </w:rPr>
        <w:t xml:space="preserve"> </w:t>
      </w:r>
      <w:r>
        <w:rPr>
          <w:b w:val="0"/>
        </w:rPr>
        <w:t>r</w:t>
      </w:r>
      <w:r w:rsidRPr="00BD465A">
        <w:rPr>
          <w:b w:val="0"/>
        </w:rPr>
        <w:t>esearch income-in-kind (REF4c)</w:t>
      </w:r>
      <w:r>
        <w:rPr>
          <w:b w:val="0"/>
        </w:rPr>
        <w:t xml:space="preserve"> </w:t>
      </w:r>
      <w:r w:rsidR="008B4B60">
        <w:rPr>
          <w:b w:val="0"/>
        </w:rPr>
        <w:t xml:space="preserve">with data </w:t>
      </w:r>
      <w:r w:rsidR="008B4B60" w:rsidRPr="00BD465A">
        <w:rPr>
          <w:b w:val="0"/>
        </w:rPr>
        <w:t>provided by the Research Councils and the</w:t>
      </w:r>
      <w:r w:rsidR="008B4B60">
        <w:rPr>
          <w:b w:val="0"/>
        </w:rPr>
        <w:t xml:space="preserve"> </w:t>
      </w:r>
      <w:r w:rsidR="007065D3" w:rsidRPr="007065D3">
        <w:rPr>
          <w:b w:val="0"/>
        </w:rPr>
        <w:t>health research</w:t>
      </w:r>
      <w:r w:rsidR="007065D3">
        <w:rPr>
          <w:b w:val="0"/>
        </w:rPr>
        <w:t xml:space="preserve"> </w:t>
      </w:r>
      <w:r w:rsidR="007065D3" w:rsidRPr="007065D3">
        <w:rPr>
          <w:b w:val="0"/>
        </w:rPr>
        <w:t>funding bodies</w:t>
      </w:r>
      <w:r w:rsidR="00C841BF" w:rsidRPr="00BD465A">
        <w:rPr>
          <w:b w:val="0"/>
        </w:rPr>
        <w:t xml:space="preserve">, and this will inform our selection of submissions </w:t>
      </w:r>
      <w:r w:rsidR="003C0690">
        <w:rPr>
          <w:b w:val="0"/>
        </w:rPr>
        <w:t>for</w:t>
      </w:r>
      <w:r w:rsidR="00C841BF" w:rsidRPr="00BD465A">
        <w:rPr>
          <w:b w:val="0"/>
        </w:rPr>
        <w:t xml:space="preserve"> audit. If audited, an institution will need to explain any significant variances and to show how they have allocated data to the appropriate REF UOAs.</w:t>
      </w:r>
      <w:r w:rsidR="00B402EA" w:rsidRPr="00B402EA">
        <w:rPr>
          <w:rStyle w:val="CommentReference"/>
          <w:rFonts w:eastAsiaTheme="minorHAnsi" w:cs="Arial"/>
          <w:b w:val="0"/>
          <w:lang w:eastAsia="en-US"/>
        </w:rPr>
        <w:t xml:space="preserve"> </w:t>
      </w:r>
    </w:p>
    <w:p w14:paraId="1BBA434C" w14:textId="77777777" w:rsidR="009B4286" w:rsidRDefault="009B4286" w:rsidP="00496C59">
      <w:pPr>
        <w:pStyle w:val="ListParagraph"/>
        <w:ind w:left="0"/>
        <w:rPr>
          <w:b w:val="0"/>
        </w:rPr>
      </w:pPr>
    </w:p>
    <w:p w14:paraId="53B47A99" w14:textId="140DF49F" w:rsidR="00496C59" w:rsidRPr="00CC69EF" w:rsidRDefault="00496C59" w:rsidP="00496C59">
      <w:pPr>
        <w:pStyle w:val="ListParagraph"/>
        <w:numPr>
          <w:ilvl w:val="0"/>
          <w:numId w:val="1"/>
        </w:numPr>
        <w:rPr>
          <w:b w:val="0"/>
        </w:rPr>
      </w:pPr>
      <w:r>
        <w:rPr>
          <w:b w:val="0"/>
        </w:rPr>
        <w:t xml:space="preserve">We will compare Income-in-kind data with equivalent data </w:t>
      </w:r>
      <w:r w:rsidR="00AB703F">
        <w:rPr>
          <w:b w:val="0"/>
        </w:rPr>
        <w:t>that</w:t>
      </w:r>
      <w:r>
        <w:rPr>
          <w:b w:val="0"/>
        </w:rPr>
        <w:t xml:space="preserve"> the Research Councils and </w:t>
      </w:r>
      <w:r w:rsidR="007B3908">
        <w:rPr>
          <w:b w:val="0"/>
        </w:rPr>
        <w:t>h</w:t>
      </w:r>
      <w:r>
        <w:rPr>
          <w:b w:val="0"/>
        </w:rPr>
        <w:t xml:space="preserve">ealth </w:t>
      </w:r>
      <w:r w:rsidR="007B3908">
        <w:rPr>
          <w:b w:val="0"/>
        </w:rPr>
        <w:t>r</w:t>
      </w:r>
      <w:r>
        <w:rPr>
          <w:b w:val="0"/>
        </w:rPr>
        <w:t xml:space="preserve">esearch </w:t>
      </w:r>
      <w:r w:rsidR="007B3908">
        <w:rPr>
          <w:b w:val="0"/>
        </w:rPr>
        <w:t>f</w:t>
      </w:r>
      <w:r>
        <w:rPr>
          <w:b w:val="0"/>
        </w:rPr>
        <w:t xml:space="preserve">unding </w:t>
      </w:r>
      <w:r w:rsidR="007B3908">
        <w:rPr>
          <w:b w:val="0"/>
        </w:rPr>
        <w:t>b</w:t>
      </w:r>
      <w:r>
        <w:rPr>
          <w:b w:val="0"/>
        </w:rPr>
        <w:t>odies</w:t>
      </w:r>
      <w:r w:rsidR="00AB703F">
        <w:rPr>
          <w:b w:val="0"/>
        </w:rPr>
        <w:t xml:space="preserve"> hold</w:t>
      </w:r>
      <w:r>
        <w:rPr>
          <w:b w:val="0"/>
        </w:rPr>
        <w:t xml:space="preserve">. </w:t>
      </w:r>
      <w:r w:rsidR="0025680E">
        <w:rPr>
          <w:b w:val="0"/>
        </w:rPr>
        <w:t>The data will be compared against</w:t>
      </w:r>
      <w:r w:rsidRPr="00AD64EF">
        <w:rPr>
          <w:b w:val="0"/>
        </w:rPr>
        <w:t xml:space="preserve"> define</w:t>
      </w:r>
      <w:r w:rsidR="0025680E">
        <w:rPr>
          <w:b w:val="0"/>
        </w:rPr>
        <w:t>d</w:t>
      </w:r>
      <w:r w:rsidRPr="00AD64EF">
        <w:rPr>
          <w:b w:val="0"/>
        </w:rPr>
        <w:t xml:space="preserve"> percentage tolerances and other tolerances, to identify variances that indicate risk. Th</w:t>
      </w:r>
      <w:r w:rsidR="00C46634" w:rsidRPr="00AD64EF">
        <w:rPr>
          <w:b w:val="0"/>
        </w:rPr>
        <w:t>is</w:t>
      </w:r>
      <w:r w:rsidRPr="00AD64EF">
        <w:rPr>
          <w:b w:val="0"/>
        </w:rPr>
        <w:t xml:space="preserve"> will be </w:t>
      </w:r>
      <w:r w:rsidR="00133BC8" w:rsidRPr="00AD64EF">
        <w:rPr>
          <w:b w:val="0"/>
        </w:rPr>
        <w:t xml:space="preserve">done </w:t>
      </w:r>
      <w:r w:rsidRPr="00AD64EF">
        <w:rPr>
          <w:b w:val="0"/>
        </w:rPr>
        <w:t xml:space="preserve">at </w:t>
      </w:r>
      <w:r w:rsidR="004A516D">
        <w:rPr>
          <w:b w:val="0"/>
        </w:rPr>
        <w:t>HEI</w:t>
      </w:r>
      <w:r w:rsidRPr="00EE2C23">
        <w:rPr>
          <w:b w:val="0"/>
        </w:rPr>
        <w:t xml:space="preserve"> level</w:t>
      </w:r>
      <w:r>
        <w:rPr>
          <w:b w:val="0"/>
        </w:rPr>
        <w:t>.</w:t>
      </w:r>
    </w:p>
    <w:p w14:paraId="4DD01E11" w14:textId="77777777" w:rsidR="00496C59" w:rsidRDefault="00496C59" w:rsidP="00496C59">
      <w:pPr>
        <w:pStyle w:val="ListParagraph"/>
        <w:ind w:left="0"/>
        <w:rPr>
          <w:b w:val="0"/>
        </w:rPr>
      </w:pPr>
    </w:p>
    <w:p w14:paraId="441E4DE3" w14:textId="7F68C7B2" w:rsidR="00496C59" w:rsidRDefault="00496C59" w:rsidP="00496C59">
      <w:pPr>
        <w:pStyle w:val="ListParagraph"/>
        <w:numPr>
          <w:ilvl w:val="0"/>
          <w:numId w:val="1"/>
        </w:numPr>
        <w:rPr>
          <w:b w:val="0"/>
        </w:rPr>
      </w:pPr>
      <w:r w:rsidRPr="00A979D4">
        <w:rPr>
          <w:b w:val="0"/>
        </w:rPr>
        <w:t>If audited, the institution will need to provide an explanation of the discrepancies identified by the data comparison. Acceptable evidence will include details of any environment data that has been returned to the REF but not to HESA (or other relevant agency), and/or a description of how the</w:t>
      </w:r>
      <w:r w:rsidR="00CB5181">
        <w:rPr>
          <w:b w:val="0"/>
        </w:rPr>
        <w:t xml:space="preserve"> HEI</w:t>
      </w:r>
      <w:r w:rsidRPr="00A979D4">
        <w:rPr>
          <w:b w:val="0"/>
        </w:rPr>
        <w:t xml:space="preserve"> ha</w:t>
      </w:r>
      <w:r w:rsidR="00CB5181">
        <w:rPr>
          <w:b w:val="0"/>
        </w:rPr>
        <w:t>s</w:t>
      </w:r>
      <w:r w:rsidRPr="00A979D4">
        <w:rPr>
          <w:b w:val="0"/>
        </w:rPr>
        <w:t xml:space="preserve"> allocated data to REF UOAs.</w:t>
      </w:r>
    </w:p>
    <w:p w14:paraId="599EE3E4" w14:textId="77777777" w:rsidR="00496C59" w:rsidRDefault="00496C59" w:rsidP="00496C59">
      <w:pPr>
        <w:pStyle w:val="ListParagraph"/>
        <w:ind w:left="0"/>
        <w:rPr>
          <w:b w:val="0"/>
        </w:rPr>
      </w:pPr>
    </w:p>
    <w:p w14:paraId="3F998748" w14:textId="77777777" w:rsidR="00496C59" w:rsidRDefault="00496C59" w:rsidP="00496C59">
      <w:pPr>
        <w:pStyle w:val="ListParagraph"/>
        <w:numPr>
          <w:ilvl w:val="0"/>
          <w:numId w:val="1"/>
        </w:numPr>
        <w:rPr>
          <w:b w:val="0"/>
        </w:rPr>
      </w:pPr>
      <w:r w:rsidRPr="00A979D4">
        <w:rPr>
          <w:b w:val="0"/>
        </w:rPr>
        <w:t>HEIs will be contacted with queries from February 20</w:t>
      </w:r>
      <w:r w:rsidR="000D03D5">
        <w:rPr>
          <w:b w:val="0"/>
        </w:rPr>
        <w:t>21</w:t>
      </w:r>
      <w:r w:rsidRPr="00A979D4">
        <w:rPr>
          <w:b w:val="0"/>
        </w:rPr>
        <w:t xml:space="preserve"> onwards.</w:t>
      </w:r>
      <w:r w:rsidR="004735DB">
        <w:rPr>
          <w:b w:val="0"/>
        </w:rPr>
        <w:t xml:space="preserve"> </w:t>
      </w:r>
      <w:r w:rsidRPr="00A979D4">
        <w:rPr>
          <w:b w:val="0"/>
        </w:rPr>
        <w:t>Requests will generally require a response within 10 working days unless otherwise specified.</w:t>
      </w:r>
    </w:p>
    <w:p w14:paraId="7FE7ACBE" w14:textId="77777777" w:rsidR="00496C59" w:rsidRPr="00A979D4" w:rsidRDefault="00496C59" w:rsidP="00496C59"/>
    <w:p w14:paraId="75DB022F" w14:textId="77777777" w:rsidR="00496C59" w:rsidRPr="00A979D4" w:rsidRDefault="00496C59" w:rsidP="00496C59">
      <w:pPr>
        <w:pStyle w:val="ListParagraph"/>
        <w:numPr>
          <w:ilvl w:val="0"/>
          <w:numId w:val="1"/>
        </w:numPr>
        <w:rPr>
          <w:b w:val="0"/>
        </w:rPr>
      </w:pPr>
      <w:r w:rsidRPr="00A979D4">
        <w:rPr>
          <w:b w:val="0"/>
        </w:rPr>
        <w:t xml:space="preserve">Where additional data (not held by the relevant agency) are not demonstrably eligible, the submission will be </w:t>
      </w:r>
      <w:proofErr w:type="gramStart"/>
      <w:r w:rsidRPr="00A979D4">
        <w:rPr>
          <w:b w:val="0"/>
        </w:rPr>
        <w:t>adjusted</w:t>
      </w:r>
      <w:proofErr w:type="gramEnd"/>
      <w:r w:rsidRPr="00A979D4">
        <w:rPr>
          <w:b w:val="0"/>
        </w:rPr>
        <w:t xml:space="preserve"> and such data will be removed.</w:t>
      </w:r>
      <w:r w:rsidR="004735DB">
        <w:rPr>
          <w:b w:val="0"/>
        </w:rPr>
        <w:t xml:space="preserve"> </w:t>
      </w:r>
      <w:r w:rsidRPr="00A979D4">
        <w:rPr>
          <w:b w:val="0"/>
        </w:rPr>
        <w:t>Where the allocation of data to UOAs cannot be justified, the submission will be adjusted accordingly.</w:t>
      </w:r>
    </w:p>
    <w:p w14:paraId="6DEFCD5E" w14:textId="77777777" w:rsidR="00496C59" w:rsidRPr="00BC7B64" w:rsidRDefault="00496C59" w:rsidP="00496C59">
      <w:pPr>
        <w:pStyle w:val="ListParagraph"/>
        <w:ind w:left="0"/>
        <w:rPr>
          <w:b w:val="0"/>
          <w:szCs w:val="20"/>
        </w:rPr>
      </w:pPr>
    </w:p>
    <w:p w14:paraId="23A67893" w14:textId="77777777" w:rsidR="00496C59" w:rsidRPr="0003487C" w:rsidRDefault="004504C2" w:rsidP="001827BF">
      <w:pPr>
        <w:pStyle w:val="ListParagraph"/>
        <w:keepNext/>
        <w:ind w:left="0"/>
        <w:rPr>
          <w:sz w:val="24"/>
          <w:szCs w:val="24"/>
        </w:rPr>
      </w:pPr>
      <w:r w:rsidRPr="00A65E15">
        <w:rPr>
          <w:sz w:val="24"/>
          <w:szCs w:val="24"/>
        </w:rPr>
        <w:t xml:space="preserve">Environment </w:t>
      </w:r>
      <w:r w:rsidR="00496C59" w:rsidRPr="00A65E15">
        <w:rPr>
          <w:sz w:val="24"/>
          <w:szCs w:val="24"/>
        </w:rPr>
        <w:t>(REF5a/b)</w:t>
      </w:r>
    </w:p>
    <w:p w14:paraId="446C68C2" w14:textId="77777777" w:rsidR="00496C59" w:rsidRDefault="00496C59" w:rsidP="001827BF">
      <w:pPr>
        <w:pStyle w:val="ListParagraph"/>
        <w:keepNext/>
        <w:ind w:left="0"/>
        <w:rPr>
          <w:b w:val="0"/>
          <w:szCs w:val="20"/>
        </w:rPr>
      </w:pPr>
    </w:p>
    <w:p w14:paraId="0DFBADA6" w14:textId="77777777" w:rsidR="001F43FA" w:rsidRDefault="001F43FA" w:rsidP="00496C59">
      <w:pPr>
        <w:pStyle w:val="ListParagraph"/>
        <w:numPr>
          <w:ilvl w:val="0"/>
          <w:numId w:val="1"/>
        </w:numPr>
        <w:rPr>
          <w:b w:val="0"/>
        </w:rPr>
      </w:pPr>
      <w:r>
        <w:rPr>
          <w:b w:val="0"/>
        </w:rPr>
        <w:t>This section refers primarily to audit of the unit level environment templ</w:t>
      </w:r>
      <w:r w:rsidR="00CF461C">
        <w:rPr>
          <w:b w:val="0"/>
        </w:rPr>
        <w:t>at</w:t>
      </w:r>
      <w:r>
        <w:rPr>
          <w:b w:val="0"/>
        </w:rPr>
        <w:t>e (</w:t>
      </w:r>
      <w:r w:rsidR="00CF461C">
        <w:rPr>
          <w:b w:val="0"/>
        </w:rPr>
        <w:t>REF</w:t>
      </w:r>
      <w:r>
        <w:rPr>
          <w:b w:val="0"/>
        </w:rPr>
        <w:t>5</w:t>
      </w:r>
      <w:r w:rsidR="00CF461C">
        <w:rPr>
          <w:b w:val="0"/>
        </w:rPr>
        <w:t>b</w:t>
      </w:r>
      <w:r>
        <w:rPr>
          <w:b w:val="0"/>
        </w:rPr>
        <w:t>).</w:t>
      </w:r>
      <w:r w:rsidR="004735DB">
        <w:rPr>
          <w:b w:val="0"/>
        </w:rPr>
        <w:t xml:space="preserve"> </w:t>
      </w:r>
      <w:r>
        <w:rPr>
          <w:b w:val="0"/>
        </w:rPr>
        <w:t xml:space="preserve">We may seek to verify information included in the </w:t>
      </w:r>
      <w:r w:rsidR="00CE5EA3">
        <w:rPr>
          <w:b w:val="0"/>
        </w:rPr>
        <w:t>institutional</w:t>
      </w:r>
      <w:r>
        <w:rPr>
          <w:b w:val="0"/>
        </w:rPr>
        <w:t xml:space="preserve"> lev</w:t>
      </w:r>
      <w:r w:rsidR="00CE5EA3">
        <w:rPr>
          <w:b w:val="0"/>
        </w:rPr>
        <w:t>el</w:t>
      </w:r>
      <w:r>
        <w:rPr>
          <w:b w:val="0"/>
        </w:rPr>
        <w:t xml:space="preserve"> env</w:t>
      </w:r>
      <w:r w:rsidR="00CE5EA3">
        <w:rPr>
          <w:b w:val="0"/>
        </w:rPr>
        <w:t>ironment</w:t>
      </w:r>
      <w:r>
        <w:rPr>
          <w:b w:val="0"/>
        </w:rPr>
        <w:t xml:space="preserve"> st</w:t>
      </w:r>
      <w:r w:rsidR="00CE5EA3">
        <w:rPr>
          <w:b w:val="0"/>
        </w:rPr>
        <w:t>atement</w:t>
      </w:r>
      <w:r>
        <w:rPr>
          <w:b w:val="0"/>
        </w:rPr>
        <w:t xml:space="preserve"> (</w:t>
      </w:r>
      <w:r w:rsidR="00CE5EA3">
        <w:rPr>
          <w:b w:val="0"/>
        </w:rPr>
        <w:t>REF</w:t>
      </w:r>
      <w:r>
        <w:rPr>
          <w:b w:val="0"/>
        </w:rPr>
        <w:t>5a) where sub-panels raise concerns.</w:t>
      </w:r>
    </w:p>
    <w:p w14:paraId="0B41849C" w14:textId="77777777" w:rsidR="00CE5EA3" w:rsidRDefault="00CE5EA3" w:rsidP="001827BF">
      <w:pPr>
        <w:pStyle w:val="ListParagraph"/>
        <w:ind w:left="0"/>
        <w:rPr>
          <w:b w:val="0"/>
        </w:rPr>
      </w:pPr>
    </w:p>
    <w:p w14:paraId="6B891D33" w14:textId="366EF281" w:rsidR="00496C59" w:rsidRPr="000E0ECD" w:rsidRDefault="00DA3262" w:rsidP="00496C59">
      <w:pPr>
        <w:pStyle w:val="ListParagraph"/>
        <w:numPr>
          <w:ilvl w:val="0"/>
          <w:numId w:val="1"/>
        </w:numPr>
        <w:rPr>
          <w:b w:val="0"/>
        </w:rPr>
      </w:pPr>
      <w:r>
        <w:rPr>
          <w:b w:val="0"/>
        </w:rPr>
        <w:t>We will audit a</w:t>
      </w:r>
      <w:r w:rsidR="00496C59" w:rsidRPr="000E0ECD">
        <w:rPr>
          <w:b w:val="0"/>
        </w:rPr>
        <w:t xml:space="preserve"> sample of </w:t>
      </w:r>
      <w:r w:rsidR="00496C59">
        <w:rPr>
          <w:b w:val="0"/>
        </w:rPr>
        <w:t>unit-level environment templates</w:t>
      </w:r>
      <w:r w:rsidR="00496C59" w:rsidRPr="000E0ECD">
        <w:rPr>
          <w:b w:val="0"/>
        </w:rPr>
        <w:t xml:space="preserve">, including some </w:t>
      </w:r>
      <w:r w:rsidR="00496C59">
        <w:rPr>
          <w:b w:val="0"/>
        </w:rPr>
        <w:t>unit-level templates</w:t>
      </w:r>
      <w:r w:rsidR="00496C59" w:rsidRPr="000E0ECD">
        <w:rPr>
          <w:b w:val="0"/>
        </w:rPr>
        <w:t xml:space="preserve"> submitted by each HEI (in one or more UOAs). Selection of the sample will be based on advice from the sub-panels. </w:t>
      </w:r>
    </w:p>
    <w:p w14:paraId="06322724" w14:textId="77777777" w:rsidR="00496C59" w:rsidRPr="000E0ECD" w:rsidRDefault="00496C59" w:rsidP="00496C59">
      <w:pPr>
        <w:pStyle w:val="ListParagraph"/>
        <w:ind w:left="0"/>
        <w:rPr>
          <w:b w:val="0"/>
        </w:rPr>
      </w:pPr>
    </w:p>
    <w:p w14:paraId="4D143C10" w14:textId="77777777" w:rsidR="00496C59" w:rsidRDefault="00496C59" w:rsidP="00496C59">
      <w:pPr>
        <w:pStyle w:val="ListParagraph"/>
        <w:numPr>
          <w:ilvl w:val="0"/>
          <w:numId w:val="1"/>
        </w:numPr>
        <w:rPr>
          <w:b w:val="0"/>
        </w:rPr>
      </w:pPr>
      <w:r w:rsidRPr="000E0ECD">
        <w:rPr>
          <w:b w:val="0"/>
        </w:rPr>
        <w:t xml:space="preserve">We will seek to verify </w:t>
      </w:r>
      <w:r w:rsidR="002C3D83">
        <w:rPr>
          <w:b w:val="0"/>
        </w:rPr>
        <w:t>k</w:t>
      </w:r>
      <w:r w:rsidRPr="000E0ECD">
        <w:rPr>
          <w:b w:val="0"/>
        </w:rPr>
        <w:t>e</w:t>
      </w:r>
      <w:r w:rsidR="002C3D83">
        <w:rPr>
          <w:b w:val="0"/>
        </w:rPr>
        <w:t>y c</w:t>
      </w:r>
      <w:r w:rsidRPr="000E0ECD">
        <w:rPr>
          <w:b w:val="0"/>
        </w:rPr>
        <w:t>l</w:t>
      </w:r>
      <w:r w:rsidR="002C3D83">
        <w:rPr>
          <w:b w:val="0"/>
        </w:rPr>
        <w:t>a</w:t>
      </w:r>
      <w:r w:rsidRPr="000E0ECD">
        <w:rPr>
          <w:b w:val="0"/>
        </w:rPr>
        <w:t>i</w:t>
      </w:r>
      <w:r w:rsidR="002C3D83">
        <w:rPr>
          <w:b w:val="0"/>
        </w:rPr>
        <w:t xml:space="preserve">ms </w:t>
      </w:r>
      <w:r w:rsidR="002D5054">
        <w:rPr>
          <w:b w:val="0"/>
        </w:rPr>
        <w:t>made wi</w:t>
      </w:r>
      <w:r w:rsidRPr="000E0ECD">
        <w:rPr>
          <w:b w:val="0"/>
        </w:rPr>
        <w:t>t</w:t>
      </w:r>
      <w:r w:rsidR="002D5054">
        <w:rPr>
          <w:b w:val="0"/>
        </w:rPr>
        <w:t>hin</w:t>
      </w:r>
      <w:r w:rsidRPr="000E0ECD">
        <w:rPr>
          <w:b w:val="0"/>
        </w:rPr>
        <w:t xml:space="preserve"> </w:t>
      </w:r>
      <w:r w:rsidR="002C3D83">
        <w:rPr>
          <w:b w:val="0"/>
        </w:rPr>
        <w:t>the</w:t>
      </w:r>
      <w:r w:rsidRPr="000E0ECD">
        <w:rPr>
          <w:b w:val="0"/>
        </w:rPr>
        <w:t xml:space="preserve"> </w:t>
      </w:r>
      <w:r w:rsidR="004504C2">
        <w:rPr>
          <w:b w:val="0"/>
        </w:rPr>
        <w:t xml:space="preserve">environment </w:t>
      </w:r>
      <w:r>
        <w:rPr>
          <w:b w:val="0"/>
        </w:rPr>
        <w:t>template.</w:t>
      </w:r>
      <w:r w:rsidR="004735DB">
        <w:rPr>
          <w:b w:val="0"/>
        </w:rPr>
        <w:t xml:space="preserve"> </w:t>
      </w:r>
      <w:r>
        <w:rPr>
          <w:b w:val="0"/>
        </w:rPr>
        <w:t xml:space="preserve">HEIs will be invited to provide further corroborating evidence for </w:t>
      </w:r>
      <w:r w:rsidR="001529CB">
        <w:rPr>
          <w:b w:val="0"/>
        </w:rPr>
        <w:t>those</w:t>
      </w:r>
      <w:r>
        <w:rPr>
          <w:b w:val="0"/>
        </w:rPr>
        <w:t xml:space="preserve"> that are selected for audit.</w:t>
      </w:r>
    </w:p>
    <w:p w14:paraId="1C50FD31" w14:textId="77777777" w:rsidR="00691A74" w:rsidRPr="00B36214" w:rsidRDefault="00691A74" w:rsidP="0006341F">
      <w:pPr>
        <w:pStyle w:val="ListParagraph"/>
        <w:rPr>
          <w:b w:val="0"/>
        </w:rPr>
      </w:pPr>
    </w:p>
    <w:p w14:paraId="6A0E104C" w14:textId="1A83B521" w:rsidR="00691A74" w:rsidRPr="00B36214" w:rsidRDefault="00254AE5" w:rsidP="00496C59">
      <w:pPr>
        <w:pStyle w:val="ListParagraph"/>
        <w:numPr>
          <w:ilvl w:val="0"/>
          <w:numId w:val="1"/>
        </w:numPr>
        <w:rPr>
          <w:b w:val="0"/>
        </w:rPr>
      </w:pPr>
      <w:r>
        <w:rPr>
          <w:b w:val="0"/>
        </w:rPr>
        <w:lastRenderedPageBreak/>
        <w:t>The Equality and Diversity Advisory Panel (</w:t>
      </w:r>
      <w:r w:rsidR="003E71F0" w:rsidRPr="00107983">
        <w:rPr>
          <w:b w:val="0"/>
        </w:rPr>
        <w:t>EDAP</w:t>
      </w:r>
      <w:r>
        <w:rPr>
          <w:b w:val="0"/>
        </w:rPr>
        <w:t>)</w:t>
      </w:r>
      <w:r w:rsidR="003E71F0" w:rsidRPr="00107983">
        <w:rPr>
          <w:b w:val="0"/>
        </w:rPr>
        <w:t xml:space="preserve"> may also refer to an HEI’s </w:t>
      </w:r>
      <w:r w:rsidR="00923ADA">
        <w:rPr>
          <w:b w:val="0"/>
        </w:rPr>
        <w:t>c</w:t>
      </w:r>
      <w:r w:rsidR="003E71F0" w:rsidRPr="00203463">
        <w:rPr>
          <w:b w:val="0"/>
        </w:rPr>
        <w:t>ode of practice when providing advice to the sub</w:t>
      </w:r>
      <w:r w:rsidR="006A5A8D" w:rsidRPr="00203463">
        <w:rPr>
          <w:b w:val="0"/>
        </w:rPr>
        <w:t>-</w:t>
      </w:r>
      <w:r w:rsidR="003E71F0" w:rsidRPr="008F7E74">
        <w:rPr>
          <w:b w:val="0"/>
        </w:rPr>
        <w:t xml:space="preserve">panels on </w:t>
      </w:r>
      <w:r w:rsidR="009D7748">
        <w:rPr>
          <w:b w:val="0"/>
        </w:rPr>
        <w:t>its</w:t>
      </w:r>
      <w:r w:rsidR="009D7748" w:rsidRPr="008F7E74">
        <w:rPr>
          <w:b w:val="0"/>
        </w:rPr>
        <w:t xml:space="preserve"> </w:t>
      </w:r>
      <w:r w:rsidR="003E71F0" w:rsidRPr="008F7E74">
        <w:rPr>
          <w:b w:val="0"/>
        </w:rPr>
        <w:t xml:space="preserve">assessment of the ‘People’ section </w:t>
      </w:r>
      <w:r w:rsidR="009D7748">
        <w:rPr>
          <w:b w:val="0"/>
        </w:rPr>
        <w:t>in</w:t>
      </w:r>
      <w:r w:rsidR="009D7748" w:rsidRPr="008F7E74">
        <w:rPr>
          <w:b w:val="0"/>
        </w:rPr>
        <w:t xml:space="preserve"> </w:t>
      </w:r>
      <w:r w:rsidR="003E71F0" w:rsidRPr="008F7E74">
        <w:rPr>
          <w:b w:val="0"/>
        </w:rPr>
        <w:t xml:space="preserve">the </w:t>
      </w:r>
      <w:r w:rsidR="007C71C2">
        <w:rPr>
          <w:b w:val="0"/>
        </w:rPr>
        <w:t xml:space="preserve">unit-level </w:t>
      </w:r>
      <w:r w:rsidR="003E71F0" w:rsidRPr="008F7E74">
        <w:rPr>
          <w:b w:val="0"/>
        </w:rPr>
        <w:t xml:space="preserve">environment </w:t>
      </w:r>
      <w:r w:rsidR="00275BCB">
        <w:rPr>
          <w:b w:val="0"/>
        </w:rPr>
        <w:t xml:space="preserve">templates </w:t>
      </w:r>
      <w:r w:rsidR="003E71F0" w:rsidRPr="008F7E74">
        <w:rPr>
          <w:b w:val="0"/>
        </w:rPr>
        <w:t>(REF 5b) and may use this as a basis for audit, where necessary</w:t>
      </w:r>
      <w:r w:rsidR="003E71F0" w:rsidRPr="00AE31B1">
        <w:rPr>
          <w:b w:val="0"/>
        </w:rPr>
        <w:t xml:space="preserve"> (</w:t>
      </w:r>
      <w:r w:rsidR="00C915BB" w:rsidRPr="00AE31B1">
        <w:rPr>
          <w:b w:val="0"/>
        </w:rPr>
        <w:t xml:space="preserve">see </w:t>
      </w:r>
      <w:r w:rsidR="009D7748" w:rsidRPr="00EA4BF0">
        <w:rPr>
          <w:b w:val="0"/>
        </w:rPr>
        <w:t>paragraph 15</w:t>
      </w:r>
      <w:r w:rsidR="009D7748">
        <w:rPr>
          <w:b w:val="0"/>
        </w:rPr>
        <w:t xml:space="preserve"> in the </w:t>
      </w:r>
      <w:r w:rsidR="004C0AAA">
        <w:rPr>
          <w:b w:val="0"/>
        </w:rPr>
        <w:t>‘</w:t>
      </w:r>
      <w:r w:rsidR="00C915BB" w:rsidRPr="001827BF">
        <w:rPr>
          <w:b w:val="0"/>
        </w:rPr>
        <w:t xml:space="preserve">Guidance on </w:t>
      </w:r>
      <w:r w:rsidR="004C0AAA">
        <w:rPr>
          <w:b w:val="0"/>
        </w:rPr>
        <w:t>c</w:t>
      </w:r>
      <w:r w:rsidR="00C915BB" w:rsidRPr="001827BF">
        <w:rPr>
          <w:b w:val="0"/>
        </w:rPr>
        <w:t xml:space="preserve">odes of </w:t>
      </w:r>
      <w:r w:rsidR="004C0AAA">
        <w:rPr>
          <w:b w:val="0"/>
        </w:rPr>
        <w:t>p</w:t>
      </w:r>
      <w:r w:rsidR="00C915BB" w:rsidRPr="001827BF">
        <w:rPr>
          <w:b w:val="0"/>
        </w:rPr>
        <w:t>ractice</w:t>
      </w:r>
      <w:r w:rsidR="004C0AAA">
        <w:rPr>
          <w:b w:val="0"/>
        </w:rPr>
        <w:t>’</w:t>
      </w:r>
      <w:r w:rsidR="003E71F0" w:rsidRPr="0079602B">
        <w:rPr>
          <w:b w:val="0"/>
        </w:rPr>
        <w:t>).</w:t>
      </w:r>
    </w:p>
    <w:p w14:paraId="38942919" w14:textId="77777777" w:rsidR="00496C59" w:rsidRDefault="00496C59" w:rsidP="00496C59">
      <w:pPr>
        <w:pStyle w:val="ListParagraph"/>
        <w:ind w:left="0"/>
        <w:rPr>
          <w:b w:val="0"/>
        </w:rPr>
      </w:pPr>
    </w:p>
    <w:p w14:paraId="26F976BB" w14:textId="528FA27F" w:rsidR="00496C59" w:rsidRDefault="00275BCB" w:rsidP="00496C59">
      <w:pPr>
        <w:pStyle w:val="ListParagraph"/>
        <w:numPr>
          <w:ilvl w:val="0"/>
          <w:numId w:val="1"/>
        </w:numPr>
        <w:rPr>
          <w:b w:val="0"/>
        </w:rPr>
      </w:pPr>
      <w:r>
        <w:rPr>
          <w:b w:val="0"/>
        </w:rPr>
        <w:t xml:space="preserve">Institutional-level environment </w:t>
      </w:r>
      <w:r w:rsidR="00496C59">
        <w:rPr>
          <w:b w:val="0"/>
        </w:rPr>
        <w:t xml:space="preserve">statements and unit-level </w:t>
      </w:r>
      <w:r>
        <w:rPr>
          <w:b w:val="0"/>
        </w:rPr>
        <w:t xml:space="preserve">environment </w:t>
      </w:r>
      <w:r w:rsidR="00496C59">
        <w:rPr>
          <w:b w:val="0"/>
        </w:rPr>
        <w:t>templates</w:t>
      </w:r>
      <w:r w:rsidR="00496C59" w:rsidRPr="00080E0F">
        <w:rPr>
          <w:b w:val="0"/>
        </w:rPr>
        <w:t xml:space="preserve"> can be audited at any time </w:t>
      </w:r>
      <w:r w:rsidR="004862BC">
        <w:rPr>
          <w:b w:val="0"/>
        </w:rPr>
        <w:t>during</w:t>
      </w:r>
      <w:r w:rsidR="004862BC" w:rsidRPr="00080E0F">
        <w:rPr>
          <w:b w:val="0"/>
        </w:rPr>
        <w:t xml:space="preserve"> </w:t>
      </w:r>
      <w:r w:rsidR="00496C59" w:rsidRPr="00080E0F">
        <w:rPr>
          <w:b w:val="0"/>
        </w:rPr>
        <w:t>the assessment period</w:t>
      </w:r>
      <w:r w:rsidR="004862BC">
        <w:rPr>
          <w:b w:val="0"/>
        </w:rPr>
        <w:t xml:space="preserve"> with</w:t>
      </w:r>
      <w:r w:rsidR="00496C59" w:rsidRPr="00080E0F">
        <w:rPr>
          <w:b w:val="0"/>
        </w:rPr>
        <w:t xml:space="preserve"> the bulk of requests occur</w:t>
      </w:r>
      <w:r w:rsidR="004862BC">
        <w:rPr>
          <w:b w:val="0"/>
        </w:rPr>
        <w:t>ring</w:t>
      </w:r>
      <w:r w:rsidR="00496C59" w:rsidRPr="00080E0F">
        <w:rPr>
          <w:b w:val="0"/>
        </w:rPr>
        <w:t xml:space="preserve"> between March and June 20</w:t>
      </w:r>
      <w:r w:rsidR="000D03D5">
        <w:rPr>
          <w:b w:val="0"/>
        </w:rPr>
        <w:t>21</w:t>
      </w:r>
      <w:r w:rsidR="00496C59" w:rsidRPr="00080E0F">
        <w:rPr>
          <w:b w:val="0"/>
        </w:rPr>
        <w:t>.</w:t>
      </w:r>
      <w:r w:rsidR="004735DB">
        <w:rPr>
          <w:b w:val="0"/>
        </w:rPr>
        <w:t xml:space="preserve"> </w:t>
      </w:r>
      <w:r w:rsidR="00496C59" w:rsidRPr="00080E0F">
        <w:rPr>
          <w:b w:val="0"/>
        </w:rPr>
        <w:t>Requests will require a response within 1</w:t>
      </w:r>
      <w:r w:rsidR="00496C59">
        <w:rPr>
          <w:b w:val="0"/>
        </w:rPr>
        <w:t>5</w:t>
      </w:r>
      <w:r w:rsidR="00496C59" w:rsidRPr="00080E0F">
        <w:rPr>
          <w:b w:val="0"/>
        </w:rPr>
        <w:t xml:space="preserve"> working days unless otherwise specified</w:t>
      </w:r>
      <w:r w:rsidR="00496C59">
        <w:rPr>
          <w:b w:val="0"/>
        </w:rPr>
        <w:t>.</w:t>
      </w:r>
    </w:p>
    <w:p w14:paraId="4B4CA4D2" w14:textId="77777777" w:rsidR="00496C59" w:rsidRPr="00080E0F" w:rsidRDefault="00496C59" w:rsidP="00496C59"/>
    <w:p w14:paraId="565BF1AA" w14:textId="6B59D4DA" w:rsidR="00496C59" w:rsidRPr="00080E0F" w:rsidRDefault="00496C59" w:rsidP="00496C59">
      <w:pPr>
        <w:pStyle w:val="ListParagraph"/>
        <w:numPr>
          <w:ilvl w:val="0"/>
          <w:numId w:val="1"/>
        </w:numPr>
        <w:rPr>
          <w:b w:val="0"/>
        </w:rPr>
      </w:pPr>
      <w:r w:rsidRPr="00080E0F">
        <w:rPr>
          <w:b w:val="0"/>
        </w:rPr>
        <w:t xml:space="preserve">Where a specific claim made within </w:t>
      </w:r>
      <w:r w:rsidR="005107BB">
        <w:rPr>
          <w:b w:val="0"/>
        </w:rPr>
        <w:t>an</w:t>
      </w:r>
      <w:r w:rsidR="005107BB" w:rsidRPr="00080E0F">
        <w:rPr>
          <w:b w:val="0"/>
        </w:rPr>
        <w:t xml:space="preserve"> </w:t>
      </w:r>
      <w:r w:rsidR="00275BCB">
        <w:rPr>
          <w:b w:val="0"/>
        </w:rPr>
        <w:t xml:space="preserve">institutional-level </w:t>
      </w:r>
      <w:r w:rsidRPr="00080E0F">
        <w:rPr>
          <w:b w:val="0"/>
        </w:rPr>
        <w:t xml:space="preserve">environment statement / unit-level </w:t>
      </w:r>
      <w:r w:rsidR="00275BCB" w:rsidRPr="00080E0F">
        <w:rPr>
          <w:b w:val="0"/>
        </w:rPr>
        <w:t xml:space="preserve">environment </w:t>
      </w:r>
      <w:r w:rsidRPr="00080E0F">
        <w:rPr>
          <w:b w:val="0"/>
        </w:rPr>
        <w:t>template is not corroborated through audit, the sub-panel will disregard this claim when making their assessment.</w:t>
      </w:r>
    </w:p>
    <w:p w14:paraId="2052FDBF" w14:textId="77777777" w:rsidR="00496C59" w:rsidRDefault="00496C59" w:rsidP="00496C59">
      <w:pPr>
        <w:pStyle w:val="ListParagraph"/>
        <w:ind w:left="0"/>
        <w:rPr>
          <w:b w:val="0"/>
          <w:szCs w:val="20"/>
        </w:rPr>
      </w:pPr>
    </w:p>
    <w:p w14:paraId="2ADD4CF3" w14:textId="70478C8E" w:rsidR="00496C59" w:rsidRPr="0003487C" w:rsidRDefault="00496C59" w:rsidP="006D5D7B">
      <w:pPr>
        <w:pStyle w:val="ListParagraph"/>
        <w:keepNext/>
        <w:ind w:left="0"/>
        <w:rPr>
          <w:sz w:val="24"/>
          <w:szCs w:val="24"/>
        </w:rPr>
      </w:pPr>
      <w:r w:rsidRPr="00A65E15">
        <w:rPr>
          <w:sz w:val="24"/>
          <w:szCs w:val="24"/>
        </w:rPr>
        <w:t xml:space="preserve">Staff </w:t>
      </w:r>
      <w:r w:rsidR="005107BB">
        <w:rPr>
          <w:sz w:val="24"/>
          <w:szCs w:val="24"/>
        </w:rPr>
        <w:t>c</w:t>
      </w:r>
      <w:r w:rsidRPr="0003487C">
        <w:rPr>
          <w:sz w:val="24"/>
          <w:szCs w:val="24"/>
        </w:rPr>
        <w:t>ircumstances (REF6a/b)</w:t>
      </w:r>
    </w:p>
    <w:p w14:paraId="06DDC179" w14:textId="77777777" w:rsidR="00496C59" w:rsidRPr="00BA7DD2" w:rsidRDefault="00496C59" w:rsidP="006D5D7B">
      <w:pPr>
        <w:pStyle w:val="ListParagraph"/>
        <w:keepNext/>
        <w:ind w:left="0"/>
        <w:rPr>
          <w:b w:val="0"/>
        </w:rPr>
      </w:pPr>
    </w:p>
    <w:p w14:paraId="04540578" w14:textId="7C7AFB69" w:rsidR="004B59B9" w:rsidRPr="00B36214" w:rsidRDefault="00C6092F" w:rsidP="00496C59">
      <w:pPr>
        <w:pStyle w:val="ListParagraph"/>
        <w:numPr>
          <w:ilvl w:val="0"/>
          <w:numId w:val="1"/>
        </w:numPr>
        <w:rPr>
          <w:b w:val="0"/>
        </w:rPr>
      </w:pPr>
      <w:r w:rsidRPr="0006341F">
        <w:rPr>
          <w:b w:val="0"/>
        </w:rPr>
        <w:t xml:space="preserve">The information returned in REF6a/b for any type of circumstance must be based on verifiable evidence (although, for the avoidance of doubt, the REF </w:t>
      </w:r>
      <w:r w:rsidR="00103657">
        <w:rPr>
          <w:b w:val="0"/>
        </w:rPr>
        <w:t xml:space="preserve">team </w:t>
      </w:r>
      <w:r w:rsidR="00103657" w:rsidRPr="0006341F">
        <w:rPr>
          <w:b w:val="0"/>
        </w:rPr>
        <w:t xml:space="preserve">will </w:t>
      </w:r>
      <w:r w:rsidRPr="0006341F">
        <w:rPr>
          <w:b w:val="0"/>
        </w:rPr>
        <w:t>typically accept individuals’ self-descriptions of their circumstances and institutions are expected to approach any verification of circumstances with tact and care and only in accordance with the law</w:t>
      </w:r>
      <w:r w:rsidR="00AE4F32">
        <w:rPr>
          <w:b w:val="0"/>
        </w:rPr>
        <w:t xml:space="preserve">; </w:t>
      </w:r>
      <w:r w:rsidR="00AE4F32" w:rsidRPr="003D5E77">
        <w:rPr>
          <w:b w:val="0"/>
        </w:rPr>
        <w:t xml:space="preserve">however, see </w:t>
      </w:r>
      <w:r w:rsidR="003C4092" w:rsidRPr="003D5E77">
        <w:rPr>
          <w:b w:val="0"/>
        </w:rPr>
        <w:t>paragraph</w:t>
      </w:r>
      <w:r w:rsidR="003C4092" w:rsidRPr="000512BC">
        <w:rPr>
          <w:b w:val="0"/>
        </w:rPr>
        <w:t xml:space="preserve"> </w:t>
      </w:r>
      <w:r w:rsidR="003C4092" w:rsidRPr="00166940">
        <w:rPr>
          <w:b w:val="0"/>
        </w:rPr>
        <w:fldChar w:fldCharType="begin"/>
      </w:r>
      <w:r w:rsidR="003C4092" w:rsidRPr="000512BC">
        <w:rPr>
          <w:b w:val="0"/>
        </w:rPr>
        <w:instrText xml:space="preserve"> REF _Ref7010467 \r \h </w:instrText>
      </w:r>
      <w:r w:rsidR="00DE6187" w:rsidRPr="00174AD2">
        <w:rPr>
          <w:b w:val="0"/>
        </w:rPr>
        <w:instrText xml:space="preserve"> \* MERGEFORMAT </w:instrText>
      </w:r>
      <w:r w:rsidR="003C4092" w:rsidRPr="00166940">
        <w:rPr>
          <w:b w:val="0"/>
        </w:rPr>
      </w:r>
      <w:r w:rsidR="003C4092" w:rsidRPr="00166940">
        <w:rPr>
          <w:b w:val="0"/>
        </w:rPr>
        <w:fldChar w:fldCharType="separate"/>
      </w:r>
      <w:r w:rsidR="00FE72ED">
        <w:rPr>
          <w:b w:val="0"/>
        </w:rPr>
        <w:t>87</w:t>
      </w:r>
      <w:r w:rsidR="003C4092" w:rsidRPr="00166940">
        <w:rPr>
          <w:b w:val="0"/>
        </w:rPr>
        <w:fldChar w:fldCharType="end"/>
      </w:r>
      <w:r w:rsidR="003C4092" w:rsidRPr="000512BC">
        <w:rPr>
          <w:b w:val="0"/>
        </w:rPr>
        <w:t xml:space="preserve"> </w:t>
      </w:r>
      <w:r w:rsidR="003C4092" w:rsidRPr="003D5E77">
        <w:rPr>
          <w:b w:val="0"/>
        </w:rPr>
        <w:t>for further verification requirements</w:t>
      </w:r>
      <w:r w:rsidRPr="0006341F">
        <w:rPr>
          <w:b w:val="0"/>
        </w:rPr>
        <w:t>). EDAP may request further details during the process of reviewing the request, and all submitted information will be subject to audit during the assessment year (2021).</w:t>
      </w:r>
    </w:p>
    <w:p w14:paraId="26627D26" w14:textId="77777777" w:rsidR="004B59B9" w:rsidRDefault="004B59B9" w:rsidP="0006341F">
      <w:pPr>
        <w:pStyle w:val="ListParagraph"/>
        <w:ind w:left="0"/>
        <w:rPr>
          <w:b w:val="0"/>
        </w:rPr>
      </w:pPr>
    </w:p>
    <w:p w14:paraId="2B67E942" w14:textId="77D4FA9D" w:rsidR="006A5C5A" w:rsidRPr="0017383B" w:rsidRDefault="006A5C5A" w:rsidP="00496C59">
      <w:pPr>
        <w:pStyle w:val="ListParagraph"/>
        <w:numPr>
          <w:ilvl w:val="0"/>
          <w:numId w:val="1"/>
        </w:numPr>
        <w:rPr>
          <w:b w:val="0"/>
        </w:rPr>
      </w:pPr>
      <w:bookmarkStart w:id="24" w:name="_Ref7012297"/>
      <w:r>
        <w:rPr>
          <w:b w:val="0"/>
        </w:rPr>
        <w:t xml:space="preserve">For </w:t>
      </w:r>
      <w:r w:rsidR="00693044">
        <w:rPr>
          <w:b w:val="0"/>
        </w:rPr>
        <w:t xml:space="preserve">staff circumstances where the information </w:t>
      </w:r>
      <w:r w:rsidR="007F4AE3">
        <w:rPr>
          <w:b w:val="0"/>
        </w:rPr>
        <w:t xml:space="preserve">includes </w:t>
      </w:r>
      <w:r w:rsidR="00BD4E0C">
        <w:rPr>
          <w:b w:val="0"/>
        </w:rPr>
        <w:t xml:space="preserve">special category personal data, </w:t>
      </w:r>
      <w:r w:rsidR="009913FF">
        <w:rPr>
          <w:b w:val="0"/>
        </w:rPr>
        <w:t>the audit will only require evidence of the staff self-declaration.</w:t>
      </w:r>
      <w:r w:rsidR="004735DB">
        <w:rPr>
          <w:b w:val="0"/>
        </w:rPr>
        <w:t xml:space="preserve"> </w:t>
      </w:r>
      <w:r w:rsidR="00647D97">
        <w:rPr>
          <w:b w:val="0"/>
        </w:rPr>
        <w:t xml:space="preserve">The REF </w:t>
      </w:r>
      <w:r w:rsidR="00A857BA">
        <w:rPr>
          <w:b w:val="0"/>
        </w:rPr>
        <w:t xml:space="preserve">team </w:t>
      </w:r>
      <w:r w:rsidR="00647D97">
        <w:rPr>
          <w:b w:val="0"/>
        </w:rPr>
        <w:t xml:space="preserve">will not require any other </w:t>
      </w:r>
      <w:r w:rsidR="00F5272B">
        <w:rPr>
          <w:b w:val="0"/>
        </w:rPr>
        <w:t xml:space="preserve">evidence </w:t>
      </w:r>
      <w:r w:rsidR="00DE523A" w:rsidRPr="00174AD2">
        <w:rPr>
          <w:b w:val="0"/>
        </w:rPr>
        <w:t xml:space="preserve">for the following </w:t>
      </w:r>
      <w:r w:rsidR="009B6FB6" w:rsidRPr="00174AD2">
        <w:rPr>
          <w:b w:val="0"/>
        </w:rPr>
        <w:t>self-declared circumstances:</w:t>
      </w:r>
      <w:bookmarkEnd w:id="24"/>
    </w:p>
    <w:p w14:paraId="4C6C4345" w14:textId="77777777" w:rsidR="009B6FB6" w:rsidRPr="009A23E6" w:rsidRDefault="009B6FB6" w:rsidP="0017383B">
      <w:pPr>
        <w:pStyle w:val="ListParagraph"/>
        <w:rPr>
          <w:b w:val="0"/>
        </w:rPr>
      </w:pPr>
    </w:p>
    <w:p w14:paraId="705D940B" w14:textId="77777777" w:rsidR="009B6FB6" w:rsidRDefault="00F5272B" w:rsidP="0017383B">
      <w:pPr>
        <w:pStyle w:val="ListParagraph"/>
        <w:numPr>
          <w:ilvl w:val="1"/>
          <w:numId w:val="1"/>
        </w:numPr>
        <w:rPr>
          <w:b w:val="0"/>
        </w:rPr>
      </w:pPr>
      <w:r w:rsidRPr="00F5272B">
        <w:rPr>
          <w:b w:val="0"/>
        </w:rPr>
        <w:t>Qualifying periods of family-related leave.</w:t>
      </w:r>
    </w:p>
    <w:p w14:paraId="51054C00" w14:textId="77777777" w:rsidR="00160ED5" w:rsidRPr="00174AD2" w:rsidRDefault="00160ED5">
      <w:pPr>
        <w:pStyle w:val="ListParagraph"/>
        <w:numPr>
          <w:ilvl w:val="1"/>
          <w:numId w:val="1"/>
        </w:numPr>
        <w:rPr>
          <w:b w:val="0"/>
        </w:rPr>
      </w:pPr>
      <w:r w:rsidRPr="00160ED5">
        <w:rPr>
          <w:b w:val="0"/>
        </w:rPr>
        <w:t xml:space="preserve">Disability: this is defined in the </w:t>
      </w:r>
      <w:r w:rsidR="004C0AAA">
        <w:rPr>
          <w:b w:val="0"/>
        </w:rPr>
        <w:t>‘</w:t>
      </w:r>
      <w:r w:rsidRPr="001827BF">
        <w:rPr>
          <w:b w:val="0"/>
        </w:rPr>
        <w:t>Guidance on codes of practice</w:t>
      </w:r>
      <w:r w:rsidR="004C0AAA">
        <w:rPr>
          <w:b w:val="0"/>
        </w:rPr>
        <w:t>’</w:t>
      </w:r>
      <w:r w:rsidRPr="00160ED5">
        <w:rPr>
          <w:b w:val="0"/>
        </w:rPr>
        <w:t>,</w:t>
      </w:r>
      <w:r w:rsidRPr="00B651EE">
        <w:rPr>
          <w:b w:val="0"/>
        </w:rPr>
        <w:t xml:space="preserve"> </w:t>
      </w:r>
      <w:r w:rsidRPr="00174AD2">
        <w:rPr>
          <w:b w:val="0"/>
        </w:rPr>
        <w:t>Table 1 under ‘Disability’.</w:t>
      </w:r>
    </w:p>
    <w:p w14:paraId="53418C51" w14:textId="77777777" w:rsidR="00160ED5" w:rsidRPr="00160ED5" w:rsidRDefault="00160ED5" w:rsidP="00160ED5">
      <w:pPr>
        <w:pStyle w:val="ListParagraph"/>
        <w:numPr>
          <w:ilvl w:val="1"/>
          <w:numId w:val="1"/>
        </w:numPr>
        <w:rPr>
          <w:b w:val="0"/>
        </w:rPr>
      </w:pPr>
      <w:r w:rsidRPr="00160ED5">
        <w:rPr>
          <w:b w:val="0"/>
        </w:rPr>
        <w:t>Ill health, injury, or mental health conditions.</w:t>
      </w:r>
    </w:p>
    <w:p w14:paraId="14B0E3FC" w14:textId="77777777" w:rsidR="00160ED5" w:rsidRPr="0076497D" w:rsidRDefault="00160ED5">
      <w:pPr>
        <w:pStyle w:val="ListParagraph"/>
        <w:numPr>
          <w:ilvl w:val="1"/>
          <w:numId w:val="1"/>
        </w:numPr>
        <w:rPr>
          <w:b w:val="0"/>
        </w:rPr>
      </w:pPr>
      <w:r w:rsidRPr="0076497D">
        <w:rPr>
          <w:b w:val="0"/>
        </w:rPr>
        <w:t>Constraints relating to pregnancy, maternity, paternity, adoption or childcare</w:t>
      </w:r>
      <w:r w:rsidR="00B651EE" w:rsidRPr="0076497D">
        <w:rPr>
          <w:b w:val="0"/>
        </w:rPr>
        <w:t xml:space="preserve"> </w:t>
      </w:r>
      <w:r w:rsidRPr="00174AD2">
        <w:rPr>
          <w:b w:val="0"/>
        </w:rPr>
        <w:t>that fall outside of – or justify the reduction of further outputs in addition to –</w:t>
      </w:r>
      <w:r w:rsidR="0076497D" w:rsidRPr="0076497D">
        <w:rPr>
          <w:b w:val="0"/>
        </w:rPr>
        <w:t xml:space="preserve"> </w:t>
      </w:r>
      <w:r w:rsidRPr="0076497D">
        <w:rPr>
          <w:b w:val="0"/>
        </w:rPr>
        <w:t>the allowances set out in Annex L</w:t>
      </w:r>
      <w:r w:rsidR="0076497D">
        <w:rPr>
          <w:b w:val="0"/>
        </w:rPr>
        <w:t xml:space="preserve"> of the </w:t>
      </w:r>
      <w:r w:rsidR="009A6A12">
        <w:rPr>
          <w:b w:val="0"/>
        </w:rPr>
        <w:t>‘</w:t>
      </w:r>
      <w:r w:rsidR="0076497D" w:rsidRPr="001827BF">
        <w:rPr>
          <w:b w:val="0"/>
        </w:rPr>
        <w:t xml:space="preserve">Guidance on </w:t>
      </w:r>
      <w:proofErr w:type="gramStart"/>
      <w:r w:rsidR="009A6A12">
        <w:rPr>
          <w:b w:val="0"/>
        </w:rPr>
        <w:t>s</w:t>
      </w:r>
      <w:r w:rsidR="009A6A12" w:rsidRPr="001827BF">
        <w:rPr>
          <w:b w:val="0"/>
        </w:rPr>
        <w:t>ubmissions</w:t>
      </w:r>
      <w:r w:rsidR="009A6A12">
        <w:rPr>
          <w:b w:val="0"/>
        </w:rPr>
        <w:t>’</w:t>
      </w:r>
      <w:proofErr w:type="gramEnd"/>
      <w:r w:rsidRPr="0076497D">
        <w:rPr>
          <w:b w:val="0"/>
        </w:rPr>
        <w:t>.</w:t>
      </w:r>
    </w:p>
    <w:p w14:paraId="6126E4E1" w14:textId="77777777" w:rsidR="00160ED5" w:rsidRPr="0076497D" w:rsidRDefault="00160ED5">
      <w:pPr>
        <w:pStyle w:val="ListParagraph"/>
        <w:numPr>
          <w:ilvl w:val="1"/>
          <w:numId w:val="1"/>
        </w:numPr>
        <w:rPr>
          <w:b w:val="0"/>
        </w:rPr>
      </w:pPr>
      <w:r w:rsidRPr="0076497D">
        <w:rPr>
          <w:b w:val="0"/>
        </w:rPr>
        <w:t>Other caring responsibilities (such as caring for an elderly or disabled</w:t>
      </w:r>
      <w:r w:rsidR="0076497D" w:rsidRPr="0076497D">
        <w:rPr>
          <w:b w:val="0"/>
        </w:rPr>
        <w:t xml:space="preserve"> </w:t>
      </w:r>
      <w:r w:rsidRPr="0076497D">
        <w:rPr>
          <w:b w:val="0"/>
        </w:rPr>
        <w:t>family member).</w:t>
      </w:r>
    </w:p>
    <w:p w14:paraId="2C277DA1" w14:textId="77777777" w:rsidR="00160ED5" w:rsidRPr="00160ED5" w:rsidRDefault="00160ED5" w:rsidP="00160ED5">
      <w:pPr>
        <w:pStyle w:val="ListParagraph"/>
        <w:numPr>
          <w:ilvl w:val="1"/>
          <w:numId w:val="1"/>
        </w:numPr>
        <w:rPr>
          <w:b w:val="0"/>
        </w:rPr>
      </w:pPr>
      <w:r w:rsidRPr="00160ED5">
        <w:rPr>
          <w:b w:val="0"/>
        </w:rPr>
        <w:t>Gender reassignment.</w:t>
      </w:r>
    </w:p>
    <w:p w14:paraId="020B66EE" w14:textId="77777777" w:rsidR="00F5272B" w:rsidRPr="0076497D" w:rsidRDefault="00160ED5">
      <w:pPr>
        <w:pStyle w:val="ListParagraph"/>
        <w:numPr>
          <w:ilvl w:val="1"/>
          <w:numId w:val="1"/>
        </w:numPr>
        <w:rPr>
          <w:b w:val="0"/>
        </w:rPr>
      </w:pPr>
      <w:r w:rsidRPr="0076497D">
        <w:rPr>
          <w:b w:val="0"/>
        </w:rPr>
        <w:t>Other circumstances relating to the protected characteristics listed in the</w:t>
      </w:r>
      <w:r w:rsidR="0076497D" w:rsidRPr="0076497D">
        <w:rPr>
          <w:b w:val="0"/>
        </w:rPr>
        <w:t xml:space="preserve"> </w:t>
      </w:r>
      <w:r w:rsidR="004C0AAA">
        <w:rPr>
          <w:b w:val="0"/>
        </w:rPr>
        <w:t>‘</w:t>
      </w:r>
      <w:r w:rsidRPr="001827BF">
        <w:rPr>
          <w:b w:val="0"/>
        </w:rPr>
        <w:t>Guidance on codes of practice</w:t>
      </w:r>
      <w:r w:rsidR="004C0AAA">
        <w:rPr>
          <w:b w:val="0"/>
        </w:rPr>
        <w:t>’</w:t>
      </w:r>
      <w:r w:rsidRPr="0076497D">
        <w:rPr>
          <w:b w:val="0"/>
        </w:rPr>
        <w:t>, Table 1, or relating to activities protected by</w:t>
      </w:r>
      <w:r w:rsidR="0076497D" w:rsidRPr="0076497D">
        <w:rPr>
          <w:b w:val="0"/>
        </w:rPr>
        <w:t xml:space="preserve"> </w:t>
      </w:r>
      <w:r w:rsidRPr="0076497D">
        <w:rPr>
          <w:b w:val="0"/>
        </w:rPr>
        <w:t>employment legislation.</w:t>
      </w:r>
    </w:p>
    <w:p w14:paraId="0A7858FC" w14:textId="77777777" w:rsidR="00647D97" w:rsidRPr="00647D97" w:rsidRDefault="00647D97" w:rsidP="0006341F">
      <w:pPr>
        <w:pStyle w:val="ListParagraph"/>
        <w:rPr>
          <w:b w:val="0"/>
        </w:rPr>
      </w:pPr>
    </w:p>
    <w:p w14:paraId="45FA6895" w14:textId="3AC48C5E" w:rsidR="00647D97" w:rsidRDefault="00647D97" w:rsidP="00496C59">
      <w:pPr>
        <w:pStyle w:val="ListParagraph"/>
        <w:numPr>
          <w:ilvl w:val="0"/>
          <w:numId w:val="1"/>
        </w:numPr>
        <w:rPr>
          <w:b w:val="0"/>
        </w:rPr>
      </w:pPr>
      <w:bookmarkStart w:id="25" w:name="_Ref7010467"/>
      <w:r>
        <w:rPr>
          <w:b w:val="0"/>
        </w:rPr>
        <w:t>Different audit arrangements will apply to the</w:t>
      </w:r>
      <w:r w:rsidR="00CF2B8B">
        <w:rPr>
          <w:b w:val="0"/>
        </w:rPr>
        <w:t xml:space="preserve"> following</w:t>
      </w:r>
      <w:r>
        <w:rPr>
          <w:b w:val="0"/>
        </w:rPr>
        <w:t xml:space="preserve"> </w:t>
      </w:r>
      <w:r w:rsidR="004A72F2">
        <w:rPr>
          <w:b w:val="0"/>
        </w:rPr>
        <w:t>circumstances, which are not classified as special category personal data:</w:t>
      </w:r>
      <w:bookmarkEnd w:id="25"/>
    </w:p>
    <w:p w14:paraId="328AECF8" w14:textId="77777777" w:rsidR="004A72F2" w:rsidRPr="004A72F2" w:rsidRDefault="004A72F2" w:rsidP="0006341F">
      <w:pPr>
        <w:pStyle w:val="ListParagraph"/>
        <w:rPr>
          <w:b w:val="0"/>
        </w:rPr>
      </w:pPr>
    </w:p>
    <w:p w14:paraId="16B1B047" w14:textId="079B88BC" w:rsidR="004A72F2" w:rsidRDefault="009A3E4D" w:rsidP="004A72F2">
      <w:pPr>
        <w:pStyle w:val="ListParagraph"/>
        <w:numPr>
          <w:ilvl w:val="1"/>
          <w:numId w:val="1"/>
        </w:numPr>
        <w:rPr>
          <w:b w:val="0"/>
        </w:rPr>
      </w:pPr>
      <w:r w:rsidRPr="009A3E4D">
        <w:rPr>
          <w:b w:val="0"/>
        </w:rPr>
        <w:t xml:space="preserve">Qualifying as an </w:t>
      </w:r>
      <w:r w:rsidR="00C55B0D">
        <w:rPr>
          <w:b w:val="0"/>
        </w:rPr>
        <w:t>e</w:t>
      </w:r>
      <w:r>
        <w:rPr>
          <w:b w:val="0"/>
        </w:rPr>
        <w:t xml:space="preserve">arly </w:t>
      </w:r>
      <w:r w:rsidR="00C55B0D">
        <w:rPr>
          <w:b w:val="0"/>
        </w:rPr>
        <w:t>c</w:t>
      </w:r>
      <w:r>
        <w:rPr>
          <w:b w:val="0"/>
        </w:rPr>
        <w:t xml:space="preserve">areer </w:t>
      </w:r>
      <w:r w:rsidR="00C55B0D">
        <w:rPr>
          <w:b w:val="0"/>
        </w:rPr>
        <w:t>r</w:t>
      </w:r>
      <w:r>
        <w:rPr>
          <w:b w:val="0"/>
        </w:rPr>
        <w:t>esearcher</w:t>
      </w:r>
      <w:r w:rsidR="00C55B0D">
        <w:rPr>
          <w:b w:val="0"/>
        </w:rPr>
        <w:t xml:space="preserve"> (ECR)</w:t>
      </w:r>
      <w:r w:rsidR="00263AC7">
        <w:rPr>
          <w:b w:val="0"/>
        </w:rPr>
        <w:t>.</w:t>
      </w:r>
    </w:p>
    <w:p w14:paraId="39C44087" w14:textId="74D93A0F" w:rsidR="009A3E4D" w:rsidRDefault="009A3E4D" w:rsidP="004A72F2">
      <w:pPr>
        <w:pStyle w:val="ListParagraph"/>
        <w:numPr>
          <w:ilvl w:val="1"/>
          <w:numId w:val="1"/>
        </w:numPr>
        <w:rPr>
          <w:b w:val="0"/>
        </w:rPr>
      </w:pPr>
      <w:r w:rsidRPr="009A3E4D">
        <w:rPr>
          <w:b w:val="0"/>
        </w:rPr>
        <w:lastRenderedPageBreak/>
        <w:t xml:space="preserve">Absence from work due to secondments or career breaks outside the </w:t>
      </w:r>
      <w:r w:rsidR="00263AC7">
        <w:rPr>
          <w:b w:val="0"/>
        </w:rPr>
        <w:t>higher education</w:t>
      </w:r>
      <w:r w:rsidR="00263AC7" w:rsidRPr="009A3E4D">
        <w:rPr>
          <w:b w:val="0"/>
        </w:rPr>
        <w:t xml:space="preserve"> </w:t>
      </w:r>
      <w:r w:rsidRPr="009A3E4D">
        <w:rPr>
          <w:b w:val="0"/>
        </w:rPr>
        <w:t>sector</w:t>
      </w:r>
      <w:r w:rsidR="00263AC7">
        <w:rPr>
          <w:b w:val="0"/>
        </w:rPr>
        <w:t>.</w:t>
      </w:r>
    </w:p>
    <w:p w14:paraId="38EC3F61" w14:textId="77777777" w:rsidR="009A3E4D" w:rsidRDefault="00B04C81" w:rsidP="0006341F">
      <w:pPr>
        <w:pStyle w:val="ListParagraph"/>
        <w:numPr>
          <w:ilvl w:val="1"/>
          <w:numId w:val="1"/>
        </w:numPr>
        <w:rPr>
          <w:b w:val="0"/>
        </w:rPr>
      </w:pPr>
      <w:r w:rsidRPr="00B04C81">
        <w:rPr>
          <w:b w:val="0"/>
        </w:rPr>
        <w:t>In UOAs 1–6</w:t>
      </w:r>
      <w:r w:rsidR="00AC29EA">
        <w:rPr>
          <w:b w:val="0"/>
        </w:rPr>
        <w:t>,</w:t>
      </w:r>
      <w:r w:rsidRPr="00B04C81">
        <w:rPr>
          <w:b w:val="0"/>
        </w:rPr>
        <w:t xml:space="preserve"> Category A submitted staff who are junior clinical academics</w:t>
      </w:r>
      <w:r w:rsidR="00724057">
        <w:rPr>
          <w:b w:val="0"/>
        </w:rPr>
        <w:t>.</w:t>
      </w:r>
    </w:p>
    <w:p w14:paraId="5A4838E3" w14:textId="77777777" w:rsidR="006A5C5A" w:rsidRPr="006A5C5A" w:rsidRDefault="006A5C5A" w:rsidP="0006341F">
      <w:pPr>
        <w:pStyle w:val="ListParagraph"/>
        <w:rPr>
          <w:b w:val="0"/>
        </w:rPr>
      </w:pPr>
    </w:p>
    <w:p w14:paraId="1FBB55B3" w14:textId="0619BE08" w:rsidR="00496C59" w:rsidRDefault="00085BC8" w:rsidP="00496C59">
      <w:pPr>
        <w:pStyle w:val="ListParagraph"/>
        <w:numPr>
          <w:ilvl w:val="0"/>
          <w:numId w:val="1"/>
        </w:numPr>
        <w:rPr>
          <w:b w:val="0"/>
        </w:rPr>
      </w:pPr>
      <w:bookmarkStart w:id="26" w:name="_Ref7012310"/>
      <w:bookmarkStart w:id="27" w:name="_Ref10471688"/>
      <w:r>
        <w:rPr>
          <w:b w:val="0"/>
        </w:rPr>
        <w:t>For the three types of circumstances listed</w:t>
      </w:r>
      <w:r w:rsidR="00030F58">
        <w:rPr>
          <w:b w:val="0"/>
        </w:rPr>
        <w:t xml:space="preserve"> </w:t>
      </w:r>
      <w:r w:rsidR="00C9008D">
        <w:rPr>
          <w:b w:val="0"/>
        </w:rPr>
        <w:t xml:space="preserve">in paragraph </w:t>
      </w:r>
      <w:r w:rsidR="00C9008D">
        <w:rPr>
          <w:b w:val="0"/>
        </w:rPr>
        <w:fldChar w:fldCharType="begin"/>
      </w:r>
      <w:r w:rsidR="00C9008D">
        <w:rPr>
          <w:b w:val="0"/>
        </w:rPr>
        <w:instrText xml:space="preserve"> REF _Ref7010467 \r \h </w:instrText>
      </w:r>
      <w:r w:rsidR="00C9008D">
        <w:rPr>
          <w:b w:val="0"/>
        </w:rPr>
      </w:r>
      <w:r w:rsidR="00C9008D">
        <w:rPr>
          <w:b w:val="0"/>
        </w:rPr>
        <w:fldChar w:fldCharType="separate"/>
      </w:r>
      <w:r w:rsidR="00FE72ED">
        <w:rPr>
          <w:b w:val="0"/>
        </w:rPr>
        <w:t>87</w:t>
      </w:r>
      <w:r w:rsidR="00C9008D">
        <w:rPr>
          <w:b w:val="0"/>
        </w:rPr>
        <w:fldChar w:fldCharType="end"/>
      </w:r>
      <w:r>
        <w:rPr>
          <w:b w:val="0"/>
        </w:rPr>
        <w:t xml:space="preserve">, </w:t>
      </w:r>
      <w:r w:rsidR="001C7696">
        <w:rPr>
          <w:b w:val="0"/>
        </w:rPr>
        <w:t xml:space="preserve">the </w:t>
      </w:r>
      <w:r w:rsidR="00496C59" w:rsidRPr="009D2499">
        <w:rPr>
          <w:b w:val="0"/>
        </w:rPr>
        <w:t xml:space="preserve">HEI </w:t>
      </w:r>
      <w:r w:rsidR="00E71FDB">
        <w:rPr>
          <w:b w:val="0"/>
        </w:rPr>
        <w:t xml:space="preserve">may be asked </w:t>
      </w:r>
      <w:r w:rsidR="00496C59" w:rsidRPr="009D2499">
        <w:rPr>
          <w:b w:val="0"/>
        </w:rPr>
        <w:t>to verify staff circumstances by stating how it assured itself that the cited circumstance(s) took place, and what evidence it had consulted. Due to the sensitivity of such information we will not request original documentation. Appropriate forms of evidence that the HEI may have used could include records of contracted working hours, leave or time taken off work, contracts or secondment agreements (</w:t>
      </w:r>
      <w:r w:rsidR="006B329E">
        <w:rPr>
          <w:b w:val="0"/>
        </w:rPr>
        <w:t xml:space="preserve">note: </w:t>
      </w:r>
      <w:r w:rsidR="002213C1">
        <w:rPr>
          <w:b w:val="0"/>
        </w:rPr>
        <w:t>t</w:t>
      </w:r>
      <w:r w:rsidR="002213C1" w:rsidRPr="009D2499">
        <w:rPr>
          <w:b w:val="0"/>
        </w:rPr>
        <w:t xml:space="preserve">his </w:t>
      </w:r>
      <w:r w:rsidR="00496C59" w:rsidRPr="009D2499">
        <w:rPr>
          <w:b w:val="0"/>
        </w:rPr>
        <w:t>is not an exhaustive or prescriptive list of examples)</w:t>
      </w:r>
      <w:r w:rsidR="002213C1">
        <w:rPr>
          <w:b w:val="0"/>
        </w:rPr>
        <w:t>.</w:t>
      </w:r>
      <w:r w:rsidR="004735DB">
        <w:rPr>
          <w:b w:val="0"/>
        </w:rPr>
        <w:t xml:space="preserve"> </w:t>
      </w:r>
      <w:r w:rsidR="002213C1">
        <w:rPr>
          <w:b w:val="0"/>
        </w:rPr>
        <w:t xml:space="preserve">The HEI </w:t>
      </w:r>
      <w:r w:rsidR="00256711">
        <w:rPr>
          <w:b w:val="0"/>
        </w:rPr>
        <w:t xml:space="preserve">may </w:t>
      </w:r>
      <w:r w:rsidR="00EF3C2B">
        <w:rPr>
          <w:b w:val="0"/>
        </w:rPr>
        <w:t xml:space="preserve">use </w:t>
      </w:r>
      <w:r w:rsidR="001505A6">
        <w:rPr>
          <w:b w:val="0"/>
        </w:rPr>
        <w:t xml:space="preserve">evidence from its own record-keeping, </w:t>
      </w:r>
      <w:r w:rsidR="00EF3C2B">
        <w:rPr>
          <w:b w:val="0"/>
        </w:rPr>
        <w:t xml:space="preserve">alongside evidence provided by the staff member at the time of </w:t>
      </w:r>
      <w:r w:rsidR="00692235">
        <w:rPr>
          <w:b w:val="0"/>
        </w:rPr>
        <w:t xml:space="preserve">self-declaration of </w:t>
      </w:r>
      <w:r w:rsidR="00C25985">
        <w:rPr>
          <w:b w:val="0"/>
        </w:rPr>
        <w:t xml:space="preserve">their </w:t>
      </w:r>
      <w:r w:rsidR="00692235">
        <w:rPr>
          <w:b w:val="0"/>
        </w:rPr>
        <w:t>circumstances</w:t>
      </w:r>
      <w:r w:rsidR="002213C1">
        <w:rPr>
          <w:b w:val="0"/>
        </w:rPr>
        <w:t>.</w:t>
      </w:r>
      <w:bookmarkEnd w:id="26"/>
      <w:r w:rsidR="004735DB">
        <w:rPr>
          <w:b w:val="0"/>
        </w:rPr>
        <w:t xml:space="preserve"> </w:t>
      </w:r>
      <w:r w:rsidR="003D1D02">
        <w:rPr>
          <w:b w:val="0"/>
        </w:rPr>
        <w:t xml:space="preserve">Note that </w:t>
      </w:r>
      <w:r w:rsidR="00833B31">
        <w:rPr>
          <w:b w:val="0"/>
        </w:rPr>
        <w:t xml:space="preserve">such circumstances </w:t>
      </w:r>
      <w:r w:rsidR="008E4CFA">
        <w:rPr>
          <w:b w:val="0"/>
        </w:rPr>
        <w:t xml:space="preserve">should still </w:t>
      </w:r>
      <w:r w:rsidR="00BA5707">
        <w:rPr>
          <w:b w:val="0"/>
        </w:rPr>
        <w:t>only be returned to the REF where staff have consented to declare</w:t>
      </w:r>
      <w:r w:rsidR="00101A84">
        <w:rPr>
          <w:b w:val="0"/>
        </w:rPr>
        <w:t xml:space="preserve"> them voluntarily, </w:t>
      </w:r>
      <w:r w:rsidR="00212386">
        <w:rPr>
          <w:b w:val="0"/>
        </w:rPr>
        <w:t xml:space="preserve">and the HEI should retain a record of the consent – see paragraph 166 of the </w:t>
      </w:r>
      <w:r w:rsidR="009A6A12">
        <w:rPr>
          <w:b w:val="0"/>
        </w:rPr>
        <w:t>‘</w:t>
      </w:r>
      <w:r w:rsidR="00212386" w:rsidRPr="001827BF">
        <w:rPr>
          <w:b w:val="0"/>
        </w:rPr>
        <w:t xml:space="preserve">Guidance on </w:t>
      </w:r>
      <w:proofErr w:type="gramStart"/>
      <w:r w:rsidR="009A6A12">
        <w:rPr>
          <w:b w:val="0"/>
        </w:rPr>
        <w:t>s</w:t>
      </w:r>
      <w:r w:rsidR="009A6A12" w:rsidRPr="001827BF">
        <w:rPr>
          <w:b w:val="0"/>
        </w:rPr>
        <w:t>ubmissions</w:t>
      </w:r>
      <w:r w:rsidR="009A6A12">
        <w:rPr>
          <w:b w:val="0"/>
        </w:rPr>
        <w:t>’</w:t>
      </w:r>
      <w:proofErr w:type="gramEnd"/>
      <w:r w:rsidR="00212386">
        <w:rPr>
          <w:b w:val="0"/>
        </w:rPr>
        <w:t>.</w:t>
      </w:r>
      <w:bookmarkEnd w:id="27"/>
    </w:p>
    <w:p w14:paraId="70D389D1" w14:textId="77777777" w:rsidR="00FA6A58" w:rsidRDefault="00FA6A58" w:rsidP="001827BF">
      <w:pPr>
        <w:pStyle w:val="ListParagraph"/>
        <w:ind w:left="0"/>
        <w:rPr>
          <w:b w:val="0"/>
        </w:rPr>
      </w:pPr>
    </w:p>
    <w:p w14:paraId="7E5B164D" w14:textId="307C5C37" w:rsidR="00FA6A58" w:rsidRDefault="00FA6A58" w:rsidP="00496C59">
      <w:pPr>
        <w:pStyle w:val="ListParagraph"/>
        <w:numPr>
          <w:ilvl w:val="0"/>
          <w:numId w:val="1"/>
        </w:numPr>
        <w:rPr>
          <w:b w:val="0"/>
        </w:rPr>
      </w:pPr>
      <w:r w:rsidRPr="00A979D4">
        <w:rPr>
          <w:b w:val="0"/>
        </w:rPr>
        <w:t>We may request further information about the timing/nature of individual staff circumstances or further details of the career history of an ECR, if required to make a judgement about the appropriate reduction in the number of outputs. For ECRs, we will in the first instance request further information to explain how the individual did not meet the definition of an ECR prior to the point at which ECR status is claimed. This could include details about the nature of previous contracts and/or details of how their previous work did not include independent research. If necessary, we may request copies of original documentation that relates to an ECR’s contract or career history</w:t>
      </w:r>
      <w:r>
        <w:rPr>
          <w:b w:val="0"/>
        </w:rPr>
        <w:t>.</w:t>
      </w:r>
    </w:p>
    <w:p w14:paraId="07738016" w14:textId="77777777" w:rsidR="0050734A" w:rsidRDefault="0050734A" w:rsidP="001526F3">
      <w:pPr>
        <w:pStyle w:val="ListParagraph"/>
        <w:ind w:left="0"/>
        <w:rPr>
          <w:b w:val="0"/>
        </w:rPr>
      </w:pPr>
    </w:p>
    <w:p w14:paraId="7505860F" w14:textId="4F6179D6" w:rsidR="0050734A" w:rsidRPr="00CA26A5" w:rsidRDefault="003328DE" w:rsidP="00496C59">
      <w:pPr>
        <w:pStyle w:val="ListParagraph"/>
        <w:numPr>
          <w:ilvl w:val="0"/>
          <w:numId w:val="1"/>
        </w:numPr>
        <w:rPr>
          <w:b w:val="0"/>
        </w:rPr>
      </w:pPr>
      <w:r>
        <w:rPr>
          <w:b w:val="0"/>
        </w:rPr>
        <w:t>Any</w:t>
      </w:r>
      <w:r w:rsidRPr="001526F3">
        <w:rPr>
          <w:b w:val="0"/>
        </w:rPr>
        <w:t xml:space="preserve"> </w:t>
      </w:r>
      <w:r w:rsidR="00CA26A5" w:rsidRPr="001526F3">
        <w:rPr>
          <w:b w:val="0"/>
        </w:rPr>
        <w:t>request to remove the ‘minimum of one’ requirement should include a description of how the circumstances have affected the staff member’s ability to produce an eligible output in the period.</w:t>
      </w:r>
      <w:r w:rsidR="00CA26A5">
        <w:rPr>
          <w:b w:val="0"/>
        </w:rPr>
        <w:t xml:space="preserve"> Note this is </w:t>
      </w:r>
      <w:r w:rsidR="00535DD4">
        <w:rPr>
          <w:b w:val="0"/>
        </w:rPr>
        <w:t>not the nature of the circumstances (</w:t>
      </w:r>
      <w:r w:rsidR="00156BAC">
        <w:rPr>
          <w:b w:val="0"/>
        </w:rPr>
        <w:t>which is described in paragraph</w:t>
      </w:r>
      <w:r w:rsidR="00482FCF">
        <w:rPr>
          <w:b w:val="0"/>
        </w:rPr>
        <w:t>s</w:t>
      </w:r>
      <w:r w:rsidR="00156BAC">
        <w:rPr>
          <w:b w:val="0"/>
        </w:rPr>
        <w:t xml:space="preserve"> </w:t>
      </w:r>
      <w:r w:rsidR="00482FCF">
        <w:rPr>
          <w:b w:val="0"/>
        </w:rPr>
        <w:fldChar w:fldCharType="begin"/>
      </w:r>
      <w:r w:rsidR="00482FCF">
        <w:rPr>
          <w:b w:val="0"/>
        </w:rPr>
        <w:instrText xml:space="preserve"> REF _Ref7012297 \r \h </w:instrText>
      </w:r>
      <w:r w:rsidR="00482FCF">
        <w:rPr>
          <w:b w:val="0"/>
        </w:rPr>
      </w:r>
      <w:r w:rsidR="00482FCF">
        <w:rPr>
          <w:b w:val="0"/>
        </w:rPr>
        <w:fldChar w:fldCharType="separate"/>
      </w:r>
      <w:r w:rsidR="00FE72ED">
        <w:rPr>
          <w:b w:val="0"/>
        </w:rPr>
        <w:t>86</w:t>
      </w:r>
      <w:r w:rsidR="00482FCF">
        <w:rPr>
          <w:b w:val="0"/>
        </w:rPr>
        <w:fldChar w:fldCharType="end"/>
      </w:r>
      <w:r w:rsidR="00482FCF">
        <w:rPr>
          <w:b w:val="0"/>
        </w:rPr>
        <w:t>-</w:t>
      </w:r>
      <w:r w:rsidR="00482FCF">
        <w:rPr>
          <w:b w:val="0"/>
        </w:rPr>
        <w:fldChar w:fldCharType="begin"/>
      </w:r>
      <w:r w:rsidR="00482FCF">
        <w:rPr>
          <w:b w:val="0"/>
        </w:rPr>
        <w:instrText xml:space="preserve"> REF _Ref7010467 \r \h </w:instrText>
      </w:r>
      <w:r w:rsidR="00482FCF">
        <w:rPr>
          <w:b w:val="0"/>
        </w:rPr>
      </w:r>
      <w:r w:rsidR="00482FCF">
        <w:rPr>
          <w:b w:val="0"/>
        </w:rPr>
        <w:fldChar w:fldCharType="separate"/>
      </w:r>
      <w:r w:rsidR="00FE72ED">
        <w:rPr>
          <w:b w:val="0"/>
        </w:rPr>
        <w:t>87</w:t>
      </w:r>
      <w:r w:rsidR="00482FCF">
        <w:rPr>
          <w:b w:val="0"/>
        </w:rPr>
        <w:fldChar w:fldCharType="end"/>
      </w:r>
      <w:r w:rsidR="00482FCF">
        <w:rPr>
          <w:b w:val="0"/>
        </w:rPr>
        <w:t xml:space="preserve"> </w:t>
      </w:r>
      <w:r w:rsidR="00156BAC">
        <w:rPr>
          <w:b w:val="0"/>
        </w:rPr>
        <w:t>above</w:t>
      </w:r>
      <w:r w:rsidR="002B15AD">
        <w:rPr>
          <w:b w:val="0"/>
        </w:rPr>
        <w:t xml:space="preserve">) but the nature </w:t>
      </w:r>
      <w:r w:rsidR="0087785D">
        <w:rPr>
          <w:b w:val="0"/>
        </w:rPr>
        <w:t>of the effect on the researcher</w:t>
      </w:r>
      <w:r w:rsidR="00C85244">
        <w:rPr>
          <w:b w:val="0"/>
        </w:rPr>
        <w:t xml:space="preserve">’s ability to produce an </w:t>
      </w:r>
      <w:r w:rsidR="008D668D">
        <w:rPr>
          <w:b w:val="0"/>
        </w:rPr>
        <w:t xml:space="preserve">eligible </w:t>
      </w:r>
      <w:r w:rsidR="00C85244">
        <w:rPr>
          <w:b w:val="0"/>
        </w:rPr>
        <w:t>output</w:t>
      </w:r>
      <w:r w:rsidR="0087785D">
        <w:rPr>
          <w:b w:val="0"/>
        </w:rPr>
        <w:t>.</w:t>
      </w:r>
      <w:r w:rsidR="004735DB">
        <w:rPr>
          <w:b w:val="0"/>
        </w:rPr>
        <w:t xml:space="preserve"> </w:t>
      </w:r>
      <w:r w:rsidR="00150852">
        <w:rPr>
          <w:b w:val="0"/>
        </w:rPr>
        <w:t xml:space="preserve">We </w:t>
      </w:r>
      <w:r w:rsidR="00A95862">
        <w:rPr>
          <w:b w:val="0"/>
        </w:rPr>
        <w:t xml:space="preserve">would expect the </w:t>
      </w:r>
      <w:r w:rsidR="00A95862" w:rsidRPr="001526F3">
        <w:rPr>
          <w:b w:val="0"/>
        </w:rPr>
        <w:t xml:space="preserve">information provided in the request </w:t>
      </w:r>
      <w:r w:rsidR="00A95862">
        <w:rPr>
          <w:b w:val="0"/>
        </w:rPr>
        <w:t>to</w:t>
      </w:r>
      <w:r w:rsidR="00A95862" w:rsidRPr="001526F3">
        <w:rPr>
          <w:b w:val="0"/>
        </w:rPr>
        <w:t xml:space="preserve"> be based on verifiable evidence.</w:t>
      </w:r>
      <w:r w:rsidR="004735DB">
        <w:rPr>
          <w:b w:val="0"/>
        </w:rPr>
        <w:t xml:space="preserve"> </w:t>
      </w:r>
      <w:r w:rsidR="00FE4763">
        <w:rPr>
          <w:b w:val="0"/>
        </w:rPr>
        <w:t>HE</w:t>
      </w:r>
      <w:r w:rsidR="000220BF">
        <w:rPr>
          <w:b w:val="0"/>
        </w:rPr>
        <w:t>Is should be mindful of the guidance in</w:t>
      </w:r>
      <w:r w:rsidR="0044630A">
        <w:rPr>
          <w:b w:val="0"/>
        </w:rPr>
        <w:t xml:space="preserve"> paragraph 194 of the </w:t>
      </w:r>
      <w:r w:rsidR="009A6A12">
        <w:rPr>
          <w:b w:val="0"/>
        </w:rPr>
        <w:t>‘</w:t>
      </w:r>
      <w:r w:rsidR="0044630A" w:rsidRPr="001827BF">
        <w:rPr>
          <w:b w:val="0"/>
        </w:rPr>
        <w:t xml:space="preserve">Guidance on </w:t>
      </w:r>
      <w:r w:rsidR="009A6A12">
        <w:rPr>
          <w:b w:val="0"/>
        </w:rPr>
        <w:t>s</w:t>
      </w:r>
      <w:r w:rsidR="0044630A" w:rsidRPr="001827BF">
        <w:rPr>
          <w:b w:val="0"/>
        </w:rPr>
        <w:t>ubmissions</w:t>
      </w:r>
      <w:r w:rsidR="009A6A12">
        <w:rPr>
          <w:b w:val="0"/>
        </w:rPr>
        <w:t>’</w:t>
      </w:r>
      <w:r w:rsidR="000220BF">
        <w:rPr>
          <w:b w:val="0"/>
        </w:rPr>
        <w:t xml:space="preserve"> when </w:t>
      </w:r>
      <w:r w:rsidR="00E0595B">
        <w:rPr>
          <w:b w:val="0"/>
        </w:rPr>
        <w:t>presenting</w:t>
      </w:r>
      <w:r w:rsidR="006F712D">
        <w:rPr>
          <w:b w:val="0"/>
        </w:rPr>
        <w:t xml:space="preserve"> evidence of the effect of the circumstances on the researcher’s ability to produce an output</w:t>
      </w:r>
      <w:r w:rsidR="00155F50">
        <w:rPr>
          <w:b w:val="0"/>
        </w:rPr>
        <w:t>.</w:t>
      </w:r>
      <w:r w:rsidR="004735DB">
        <w:rPr>
          <w:b w:val="0"/>
        </w:rPr>
        <w:t xml:space="preserve"> </w:t>
      </w:r>
      <w:r w:rsidR="008E6D8E">
        <w:rPr>
          <w:b w:val="0"/>
        </w:rPr>
        <w:t xml:space="preserve">Where </w:t>
      </w:r>
      <w:r w:rsidR="008E6D8E" w:rsidRPr="008E6D8E">
        <w:rPr>
          <w:b w:val="0"/>
        </w:rPr>
        <w:t>evidence of a potentially eligible output is identified by the REF team, the HEI will be asked to provide further information</w:t>
      </w:r>
      <w:r w:rsidR="008E6D8E">
        <w:rPr>
          <w:b w:val="0"/>
        </w:rPr>
        <w:t>.</w:t>
      </w:r>
    </w:p>
    <w:p w14:paraId="6FF4E4E2" w14:textId="77777777" w:rsidR="007D505E" w:rsidRPr="00BA7DD2" w:rsidRDefault="007D505E" w:rsidP="00496C59">
      <w:pPr>
        <w:pStyle w:val="ListParagraph"/>
        <w:ind w:left="0"/>
        <w:rPr>
          <w:b w:val="0"/>
        </w:rPr>
      </w:pPr>
    </w:p>
    <w:p w14:paraId="20FDA09F" w14:textId="195D40A3" w:rsidR="00736B34" w:rsidRDefault="00DF78A4" w:rsidP="00496C59">
      <w:pPr>
        <w:pStyle w:val="ListParagraph"/>
        <w:numPr>
          <w:ilvl w:val="0"/>
          <w:numId w:val="1"/>
        </w:numPr>
        <w:rPr>
          <w:b w:val="0"/>
        </w:rPr>
      </w:pPr>
      <w:r>
        <w:rPr>
          <w:b w:val="0"/>
        </w:rPr>
        <w:t xml:space="preserve">For </w:t>
      </w:r>
      <w:r w:rsidR="00F02749">
        <w:rPr>
          <w:b w:val="0"/>
        </w:rPr>
        <w:t>u</w:t>
      </w:r>
      <w:r w:rsidR="00736B34">
        <w:rPr>
          <w:b w:val="0"/>
        </w:rPr>
        <w:t>nit reduction requests</w:t>
      </w:r>
      <w:r>
        <w:rPr>
          <w:b w:val="0"/>
        </w:rPr>
        <w:t xml:space="preserve"> the HEI </w:t>
      </w:r>
      <w:r w:rsidR="00CB6206">
        <w:rPr>
          <w:b w:val="0"/>
        </w:rPr>
        <w:t xml:space="preserve">must </w:t>
      </w:r>
      <w:r w:rsidR="008D0937">
        <w:rPr>
          <w:b w:val="0"/>
        </w:rPr>
        <w:t xml:space="preserve">include the information described in paragraph 193 of the ‘Guidance on </w:t>
      </w:r>
      <w:proofErr w:type="gramStart"/>
      <w:r w:rsidR="008D0937">
        <w:rPr>
          <w:b w:val="0"/>
        </w:rPr>
        <w:t>submissions</w:t>
      </w:r>
      <w:r w:rsidR="00A40301">
        <w:rPr>
          <w:b w:val="0"/>
        </w:rPr>
        <w:t>’</w:t>
      </w:r>
      <w:proofErr w:type="gramEnd"/>
      <w:r w:rsidR="00A40301">
        <w:rPr>
          <w:b w:val="0"/>
        </w:rPr>
        <w:t>.</w:t>
      </w:r>
    </w:p>
    <w:p w14:paraId="3D07CA9B" w14:textId="77777777" w:rsidR="00736B34" w:rsidRDefault="00736B34" w:rsidP="0006341F">
      <w:pPr>
        <w:pStyle w:val="ListParagraph"/>
        <w:ind w:left="0"/>
        <w:rPr>
          <w:b w:val="0"/>
        </w:rPr>
      </w:pPr>
    </w:p>
    <w:p w14:paraId="6EF463CA" w14:textId="180B8410" w:rsidR="003D41C9" w:rsidRDefault="00532C5A" w:rsidP="00496C59">
      <w:pPr>
        <w:pStyle w:val="ListParagraph"/>
        <w:numPr>
          <w:ilvl w:val="0"/>
          <w:numId w:val="1"/>
        </w:numPr>
        <w:rPr>
          <w:b w:val="0"/>
        </w:rPr>
      </w:pPr>
      <w:r>
        <w:rPr>
          <w:b w:val="0"/>
        </w:rPr>
        <w:t>For the staff-level outline</w:t>
      </w:r>
      <w:r w:rsidR="001220B9">
        <w:rPr>
          <w:b w:val="0"/>
        </w:rPr>
        <w:t xml:space="preserve"> (see paragraph 193</w:t>
      </w:r>
      <w:r w:rsidR="00FB6D49">
        <w:rPr>
          <w:b w:val="0"/>
        </w:rPr>
        <w:t>.b of the ‘Guidance on submissions’</w:t>
      </w:r>
      <w:r w:rsidR="001220B9">
        <w:rPr>
          <w:b w:val="0"/>
        </w:rPr>
        <w:t>)</w:t>
      </w:r>
      <w:r>
        <w:rPr>
          <w:b w:val="0"/>
        </w:rPr>
        <w:t xml:space="preserve">, </w:t>
      </w:r>
      <w:r w:rsidR="0019733C">
        <w:rPr>
          <w:b w:val="0"/>
        </w:rPr>
        <w:t xml:space="preserve">an </w:t>
      </w:r>
      <w:r>
        <w:rPr>
          <w:b w:val="0"/>
        </w:rPr>
        <w:t xml:space="preserve">HEI </w:t>
      </w:r>
      <w:r w:rsidR="003D41C9">
        <w:rPr>
          <w:b w:val="0"/>
        </w:rPr>
        <w:t>may be asked</w:t>
      </w:r>
      <w:r w:rsidR="0019733C">
        <w:rPr>
          <w:b w:val="0"/>
        </w:rPr>
        <w:t xml:space="preserve"> both</w:t>
      </w:r>
      <w:r w:rsidR="003D41C9">
        <w:rPr>
          <w:b w:val="0"/>
        </w:rPr>
        <w:t xml:space="preserve"> to provide further information about</w:t>
      </w:r>
      <w:r w:rsidR="003F6570">
        <w:rPr>
          <w:b w:val="0"/>
        </w:rPr>
        <w:t xml:space="preserve"> how </w:t>
      </w:r>
      <w:r w:rsidR="003D41C9">
        <w:rPr>
          <w:b w:val="0"/>
        </w:rPr>
        <w:t>it</w:t>
      </w:r>
      <w:r w:rsidR="003F6570" w:rsidRPr="00C30E34">
        <w:rPr>
          <w:b w:val="0"/>
        </w:rPr>
        <w:t xml:space="preserve"> determined an appropriate reduction</w:t>
      </w:r>
      <w:r w:rsidR="003D41C9">
        <w:rPr>
          <w:b w:val="0"/>
        </w:rPr>
        <w:t xml:space="preserve">, and to verify the cited circumstances. Refer to paragraphs </w:t>
      </w:r>
      <w:r w:rsidR="00500052">
        <w:rPr>
          <w:b w:val="0"/>
        </w:rPr>
        <w:fldChar w:fldCharType="begin"/>
      </w:r>
      <w:r w:rsidR="00500052">
        <w:rPr>
          <w:b w:val="0"/>
        </w:rPr>
        <w:instrText xml:space="preserve"> REF _Ref7012297 \r \h </w:instrText>
      </w:r>
      <w:r w:rsidR="00500052">
        <w:rPr>
          <w:b w:val="0"/>
        </w:rPr>
      </w:r>
      <w:r w:rsidR="00500052">
        <w:rPr>
          <w:b w:val="0"/>
        </w:rPr>
        <w:fldChar w:fldCharType="separate"/>
      </w:r>
      <w:r w:rsidR="00FE72ED">
        <w:rPr>
          <w:b w:val="0"/>
        </w:rPr>
        <w:t>86</w:t>
      </w:r>
      <w:r w:rsidR="00500052">
        <w:rPr>
          <w:b w:val="0"/>
        </w:rPr>
        <w:fldChar w:fldCharType="end"/>
      </w:r>
      <w:r w:rsidR="003D41C9">
        <w:rPr>
          <w:b w:val="0"/>
        </w:rPr>
        <w:t>-</w:t>
      </w:r>
      <w:r w:rsidR="00500052">
        <w:rPr>
          <w:b w:val="0"/>
        </w:rPr>
        <w:fldChar w:fldCharType="begin"/>
      </w:r>
      <w:r w:rsidR="00500052">
        <w:rPr>
          <w:b w:val="0"/>
        </w:rPr>
        <w:instrText xml:space="preserve"> REF _Ref10471688 \r \h </w:instrText>
      </w:r>
      <w:r w:rsidR="00500052">
        <w:rPr>
          <w:b w:val="0"/>
        </w:rPr>
      </w:r>
      <w:r w:rsidR="00500052">
        <w:rPr>
          <w:b w:val="0"/>
        </w:rPr>
        <w:fldChar w:fldCharType="separate"/>
      </w:r>
      <w:r w:rsidR="00FE72ED">
        <w:rPr>
          <w:b w:val="0"/>
        </w:rPr>
        <w:t>88</w:t>
      </w:r>
      <w:r w:rsidR="00500052">
        <w:rPr>
          <w:b w:val="0"/>
        </w:rPr>
        <w:fldChar w:fldCharType="end"/>
      </w:r>
      <w:r w:rsidR="003D41C9">
        <w:rPr>
          <w:b w:val="0"/>
        </w:rPr>
        <w:t xml:space="preserve"> regarding evidence verifying that the cited circumstances took place.</w:t>
      </w:r>
    </w:p>
    <w:p w14:paraId="30A5212A" w14:textId="77777777" w:rsidR="00F42157" w:rsidRDefault="00F42157" w:rsidP="00F42157">
      <w:pPr>
        <w:pStyle w:val="ListParagraph"/>
        <w:ind w:left="0"/>
        <w:rPr>
          <w:b w:val="0"/>
        </w:rPr>
      </w:pPr>
    </w:p>
    <w:p w14:paraId="49F60792" w14:textId="77777777" w:rsidR="00532C5A" w:rsidRDefault="003D41C9" w:rsidP="00496C59">
      <w:pPr>
        <w:pStyle w:val="ListParagraph"/>
        <w:numPr>
          <w:ilvl w:val="0"/>
          <w:numId w:val="1"/>
        </w:numPr>
        <w:rPr>
          <w:b w:val="0"/>
        </w:rPr>
      </w:pPr>
      <w:r>
        <w:rPr>
          <w:b w:val="0"/>
        </w:rPr>
        <w:t xml:space="preserve">EDAP will review the rationale statement </w:t>
      </w:r>
      <w:r w:rsidR="00FC1010">
        <w:rPr>
          <w:b w:val="0"/>
        </w:rPr>
        <w:t>(</w:t>
      </w:r>
      <w:r w:rsidR="0055077F">
        <w:rPr>
          <w:b w:val="0"/>
        </w:rPr>
        <w:t xml:space="preserve">see </w:t>
      </w:r>
      <w:r>
        <w:rPr>
          <w:b w:val="0"/>
        </w:rPr>
        <w:t>para</w:t>
      </w:r>
      <w:r w:rsidR="0055077F">
        <w:rPr>
          <w:b w:val="0"/>
        </w:rPr>
        <w:t>graph</w:t>
      </w:r>
      <w:r>
        <w:rPr>
          <w:b w:val="0"/>
        </w:rPr>
        <w:t xml:space="preserve"> 193</w:t>
      </w:r>
      <w:r w:rsidR="0055077F">
        <w:rPr>
          <w:b w:val="0"/>
        </w:rPr>
        <w:t>.</w:t>
      </w:r>
      <w:r>
        <w:rPr>
          <w:b w:val="0"/>
        </w:rPr>
        <w:t>c</w:t>
      </w:r>
      <w:r w:rsidR="0055077F">
        <w:rPr>
          <w:b w:val="0"/>
        </w:rPr>
        <w:t xml:space="preserve"> of the ‘Guidance on submissions’) </w:t>
      </w:r>
      <w:r>
        <w:rPr>
          <w:b w:val="0"/>
        </w:rPr>
        <w:t>within the context of</w:t>
      </w:r>
      <w:r w:rsidR="00093F01">
        <w:rPr>
          <w:b w:val="0"/>
        </w:rPr>
        <w:t xml:space="preserve"> the HEI’s code of practice</w:t>
      </w:r>
      <w:r w:rsidR="00B531CF">
        <w:rPr>
          <w:b w:val="0"/>
        </w:rPr>
        <w:t>.</w:t>
      </w:r>
      <w:r w:rsidR="004735DB">
        <w:rPr>
          <w:b w:val="0"/>
        </w:rPr>
        <w:t xml:space="preserve"> </w:t>
      </w:r>
      <w:r w:rsidR="001133B0">
        <w:rPr>
          <w:b w:val="0"/>
        </w:rPr>
        <w:t>Audit will focus on verifying the information provided.</w:t>
      </w:r>
    </w:p>
    <w:p w14:paraId="7E8D5888" w14:textId="77777777" w:rsidR="00532C5A" w:rsidRDefault="00532C5A" w:rsidP="001526F3">
      <w:pPr>
        <w:pStyle w:val="ListParagraph"/>
        <w:ind w:left="0"/>
        <w:rPr>
          <w:b w:val="0"/>
        </w:rPr>
      </w:pPr>
    </w:p>
    <w:p w14:paraId="0F8A5A36" w14:textId="5960D92E" w:rsidR="00FF349D" w:rsidRDefault="0097360D" w:rsidP="00496C59">
      <w:pPr>
        <w:pStyle w:val="ListParagraph"/>
        <w:numPr>
          <w:ilvl w:val="0"/>
          <w:numId w:val="1"/>
        </w:numPr>
        <w:rPr>
          <w:b w:val="0"/>
        </w:rPr>
      </w:pPr>
      <w:r>
        <w:rPr>
          <w:b w:val="0"/>
        </w:rPr>
        <w:lastRenderedPageBreak/>
        <w:t>I</w:t>
      </w:r>
      <w:r w:rsidR="003D41C9">
        <w:rPr>
          <w:b w:val="0"/>
        </w:rPr>
        <w:t>n relation to information provided</w:t>
      </w:r>
      <w:r w:rsidR="00154483">
        <w:rPr>
          <w:b w:val="0"/>
        </w:rPr>
        <w:t xml:space="preserve"> </w:t>
      </w:r>
      <w:r w:rsidR="003D41C9">
        <w:rPr>
          <w:b w:val="0"/>
        </w:rPr>
        <w:t>in</w:t>
      </w:r>
      <w:r w:rsidR="005C1970">
        <w:rPr>
          <w:b w:val="0"/>
        </w:rPr>
        <w:t xml:space="preserve"> REF6a and REF6b</w:t>
      </w:r>
      <w:r>
        <w:rPr>
          <w:b w:val="0"/>
        </w:rPr>
        <w:t>,</w:t>
      </w:r>
      <w:r w:rsidR="005C1970">
        <w:rPr>
          <w:b w:val="0"/>
        </w:rPr>
        <w:t xml:space="preserve"> </w:t>
      </w:r>
      <w:r>
        <w:rPr>
          <w:b w:val="0"/>
        </w:rPr>
        <w:t xml:space="preserve">EDAP may request further details </w:t>
      </w:r>
      <w:r w:rsidR="00CA57C0">
        <w:rPr>
          <w:b w:val="0"/>
        </w:rPr>
        <w:t>between April 2020 (after the deadline for submitting requests) and Ju</w:t>
      </w:r>
      <w:r w:rsidR="003C2441">
        <w:rPr>
          <w:b w:val="0"/>
        </w:rPr>
        <w:t>ne</w:t>
      </w:r>
      <w:r w:rsidR="00CA57C0">
        <w:rPr>
          <w:b w:val="0"/>
        </w:rPr>
        <w:t xml:space="preserve"> </w:t>
      </w:r>
      <w:r w:rsidR="003C2441">
        <w:rPr>
          <w:b w:val="0"/>
        </w:rPr>
        <w:t>2020</w:t>
      </w:r>
      <w:r w:rsidR="00952739">
        <w:rPr>
          <w:b w:val="0"/>
        </w:rPr>
        <w:t>.</w:t>
      </w:r>
      <w:r w:rsidR="004735DB">
        <w:rPr>
          <w:b w:val="0"/>
        </w:rPr>
        <w:t xml:space="preserve"> </w:t>
      </w:r>
      <w:r w:rsidR="003D41C9">
        <w:rPr>
          <w:b w:val="0"/>
        </w:rPr>
        <w:t>A</w:t>
      </w:r>
      <w:r w:rsidR="00932250">
        <w:rPr>
          <w:b w:val="0"/>
        </w:rPr>
        <w:t xml:space="preserve">udit evidence </w:t>
      </w:r>
      <w:r w:rsidR="003D41C9">
        <w:rPr>
          <w:b w:val="0"/>
        </w:rPr>
        <w:t xml:space="preserve">for information provided in REF6a and REF6b </w:t>
      </w:r>
      <w:r w:rsidR="00932250">
        <w:rPr>
          <w:b w:val="0"/>
        </w:rPr>
        <w:t xml:space="preserve">may be sought </w:t>
      </w:r>
      <w:r w:rsidR="003D41C9">
        <w:rPr>
          <w:b w:val="0"/>
        </w:rPr>
        <w:t xml:space="preserve">between </w:t>
      </w:r>
      <w:r w:rsidR="00B708E3">
        <w:rPr>
          <w:b w:val="0"/>
        </w:rPr>
        <w:t>January 2021 and June 2021</w:t>
      </w:r>
      <w:r w:rsidR="00932250">
        <w:rPr>
          <w:b w:val="0"/>
        </w:rPr>
        <w:t>.</w:t>
      </w:r>
    </w:p>
    <w:p w14:paraId="49B38662" w14:textId="77777777" w:rsidR="00FF349D" w:rsidRPr="009A23E6" w:rsidRDefault="00FF349D" w:rsidP="0017383B">
      <w:pPr>
        <w:pStyle w:val="ListParagraph"/>
        <w:rPr>
          <w:b w:val="0"/>
        </w:rPr>
      </w:pPr>
    </w:p>
    <w:p w14:paraId="0737435C" w14:textId="77777777" w:rsidR="00496C59" w:rsidRDefault="00496C59" w:rsidP="00496C59">
      <w:pPr>
        <w:pStyle w:val="ListParagraph"/>
        <w:numPr>
          <w:ilvl w:val="0"/>
          <w:numId w:val="1"/>
        </w:numPr>
        <w:rPr>
          <w:b w:val="0"/>
        </w:rPr>
      </w:pPr>
      <w:r w:rsidRPr="00BA7DD2">
        <w:rPr>
          <w:b w:val="0"/>
        </w:rPr>
        <w:t>Evidence received from HEIs may subsequently be followed up if required. Such requests for further evidence will require a response within 1</w:t>
      </w:r>
      <w:r>
        <w:rPr>
          <w:b w:val="0"/>
        </w:rPr>
        <w:t>5 working days</w:t>
      </w:r>
      <w:r w:rsidRPr="00BA7DD2">
        <w:rPr>
          <w:b w:val="0"/>
        </w:rPr>
        <w:t>.</w:t>
      </w:r>
    </w:p>
    <w:p w14:paraId="6E1FC728" w14:textId="77777777" w:rsidR="00496C59" w:rsidRPr="001827BF" w:rsidRDefault="00496C59" w:rsidP="00496C59"/>
    <w:p w14:paraId="54284636" w14:textId="77777777" w:rsidR="00496C59" w:rsidRDefault="00496C59" w:rsidP="00496C59">
      <w:pPr>
        <w:pStyle w:val="ListParagraph"/>
        <w:numPr>
          <w:ilvl w:val="0"/>
          <w:numId w:val="1"/>
        </w:numPr>
        <w:rPr>
          <w:b w:val="0"/>
        </w:rPr>
      </w:pPr>
      <w:r w:rsidRPr="00B34E16">
        <w:rPr>
          <w:b w:val="0"/>
        </w:rPr>
        <w:t>Where an individual’s circumstances in REF</w:t>
      </w:r>
      <w:r>
        <w:rPr>
          <w:b w:val="0"/>
        </w:rPr>
        <w:t>6a/</w:t>
      </w:r>
      <w:r w:rsidRPr="00B34E16">
        <w:rPr>
          <w:b w:val="0"/>
        </w:rPr>
        <w:t>b cannot be verified, any ‘missing’ outputs will be graded as ‘unclassified’.</w:t>
      </w:r>
    </w:p>
    <w:p w14:paraId="281A690C" w14:textId="77777777" w:rsidR="00496C59" w:rsidRDefault="00496C59" w:rsidP="00496C59"/>
    <w:p w14:paraId="183CCCA0" w14:textId="77777777" w:rsidR="00496C59" w:rsidRPr="00A979D4" w:rsidRDefault="00496C59" w:rsidP="00496C59"/>
    <w:p w14:paraId="6F82D2BD" w14:textId="734E5F11" w:rsidR="00496C59" w:rsidRPr="00FD1A51" w:rsidRDefault="00496C59" w:rsidP="00496C59">
      <w:pPr>
        <w:pStyle w:val="ListParagraph"/>
        <w:ind w:left="0"/>
        <w:rPr>
          <w:sz w:val="24"/>
          <w:szCs w:val="24"/>
        </w:rPr>
      </w:pPr>
      <w:r w:rsidRPr="00A65E15">
        <w:rPr>
          <w:sz w:val="24"/>
          <w:szCs w:val="24"/>
        </w:rPr>
        <w:t>Panel</w:t>
      </w:r>
      <w:r w:rsidR="00E964C7" w:rsidRPr="00FD1A51">
        <w:rPr>
          <w:sz w:val="24"/>
          <w:szCs w:val="24"/>
        </w:rPr>
        <w:t>-i</w:t>
      </w:r>
      <w:r w:rsidRPr="00FD1A51">
        <w:rPr>
          <w:sz w:val="24"/>
          <w:szCs w:val="24"/>
        </w:rPr>
        <w:t xml:space="preserve">nstigated </w:t>
      </w:r>
      <w:r w:rsidR="00E964C7" w:rsidRPr="00FD1A51">
        <w:rPr>
          <w:sz w:val="24"/>
          <w:szCs w:val="24"/>
        </w:rPr>
        <w:t>q</w:t>
      </w:r>
      <w:r w:rsidRPr="00FD1A51">
        <w:rPr>
          <w:sz w:val="24"/>
          <w:szCs w:val="24"/>
        </w:rPr>
        <w:t>ueries</w:t>
      </w:r>
    </w:p>
    <w:p w14:paraId="08DB9AD8" w14:textId="77777777" w:rsidR="00496C59" w:rsidRDefault="00496C59" w:rsidP="00496C59">
      <w:pPr>
        <w:pStyle w:val="ListParagraph"/>
        <w:ind w:left="0"/>
        <w:rPr>
          <w:b w:val="0"/>
        </w:rPr>
      </w:pPr>
    </w:p>
    <w:p w14:paraId="6BCFFF72" w14:textId="42FF0A66" w:rsidR="00BC439D" w:rsidRPr="00BC439D" w:rsidRDefault="00BC439D" w:rsidP="00496C59">
      <w:pPr>
        <w:pStyle w:val="ListParagraph"/>
        <w:numPr>
          <w:ilvl w:val="0"/>
          <w:numId w:val="1"/>
        </w:numPr>
        <w:rPr>
          <w:b w:val="0"/>
        </w:rPr>
      </w:pPr>
      <w:proofErr w:type="gramStart"/>
      <w:r w:rsidRPr="0006341F">
        <w:rPr>
          <w:b w:val="0"/>
        </w:rPr>
        <w:t>During the course of</w:t>
      </w:r>
      <w:proofErr w:type="gramEnd"/>
      <w:r w:rsidRPr="0006341F">
        <w:rPr>
          <w:b w:val="0"/>
        </w:rPr>
        <w:t xml:space="preserve"> the assessment, the sub-panels will be asked to draw attention to any data they would like the REF team to verify through an audit. </w:t>
      </w:r>
      <w:r w:rsidR="00DA7806">
        <w:rPr>
          <w:b w:val="0"/>
        </w:rPr>
        <w:t>T</w:t>
      </w:r>
      <w:r w:rsidR="00DA7806" w:rsidRPr="0006341F">
        <w:rPr>
          <w:b w:val="0"/>
        </w:rPr>
        <w:t xml:space="preserve">he REF team </w:t>
      </w:r>
      <w:r w:rsidRPr="0006341F">
        <w:rPr>
          <w:b w:val="0"/>
        </w:rPr>
        <w:t xml:space="preserve">will </w:t>
      </w:r>
      <w:r w:rsidR="00DA7806">
        <w:rPr>
          <w:b w:val="0"/>
        </w:rPr>
        <w:t>then</w:t>
      </w:r>
      <w:r w:rsidR="00DA7806" w:rsidRPr="0006341F">
        <w:rPr>
          <w:b w:val="0"/>
        </w:rPr>
        <w:t xml:space="preserve"> </w:t>
      </w:r>
      <w:r w:rsidRPr="0006341F">
        <w:rPr>
          <w:b w:val="0"/>
        </w:rPr>
        <w:t>investigate</w:t>
      </w:r>
      <w:r w:rsidR="00F1625B">
        <w:rPr>
          <w:b w:val="0"/>
        </w:rPr>
        <w:t xml:space="preserve"> and seek to verify</w:t>
      </w:r>
      <w:r w:rsidRPr="0006341F">
        <w:rPr>
          <w:b w:val="0"/>
        </w:rPr>
        <w:t xml:space="preserve"> </w:t>
      </w:r>
      <w:r w:rsidR="00DA7806">
        <w:rPr>
          <w:b w:val="0"/>
        </w:rPr>
        <w:t>t</w:t>
      </w:r>
      <w:r w:rsidR="00DA7806" w:rsidRPr="0006341F">
        <w:rPr>
          <w:b w:val="0"/>
        </w:rPr>
        <w:t xml:space="preserve">he data </w:t>
      </w:r>
      <w:r w:rsidRPr="0006341F">
        <w:rPr>
          <w:b w:val="0"/>
        </w:rPr>
        <w:t xml:space="preserve">(in addition to the REF team auditing a proportion of submitted information from each institution, as described in </w:t>
      </w:r>
      <w:r w:rsidR="00F1625B" w:rsidRPr="0006341F">
        <w:rPr>
          <w:b w:val="0"/>
        </w:rPr>
        <w:t xml:space="preserve">paragraphs 91 to 97 </w:t>
      </w:r>
      <w:r w:rsidR="00F1625B">
        <w:rPr>
          <w:b w:val="0"/>
        </w:rPr>
        <w:t xml:space="preserve">of the </w:t>
      </w:r>
      <w:r w:rsidRPr="0006341F">
        <w:rPr>
          <w:b w:val="0"/>
        </w:rPr>
        <w:t>‘Guidance on submissions’).</w:t>
      </w:r>
    </w:p>
    <w:p w14:paraId="2587B459" w14:textId="77777777" w:rsidR="00BC439D" w:rsidRDefault="00BC439D" w:rsidP="0006341F">
      <w:pPr>
        <w:pStyle w:val="ListParagraph"/>
        <w:ind w:left="0"/>
        <w:rPr>
          <w:b w:val="0"/>
        </w:rPr>
      </w:pPr>
    </w:p>
    <w:p w14:paraId="621E7E97" w14:textId="77777777" w:rsidR="00496C59" w:rsidRPr="00A979D4" w:rsidRDefault="00496C59" w:rsidP="00496C59">
      <w:pPr>
        <w:pStyle w:val="ListParagraph"/>
        <w:numPr>
          <w:ilvl w:val="0"/>
          <w:numId w:val="1"/>
        </w:numPr>
        <w:rPr>
          <w:b w:val="0"/>
        </w:rPr>
      </w:pPr>
      <w:r w:rsidRPr="00A979D4">
        <w:rPr>
          <w:b w:val="0"/>
        </w:rPr>
        <w:t>Sub-panels may instigate audits to verify specific information relating to any aspect of a submission. The REF audit team will request further information or evidence from the HEI</w:t>
      </w:r>
      <w:r>
        <w:rPr>
          <w:b w:val="0"/>
        </w:rPr>
        <w:t>, as appropriate to the query.</w:t>
      </w:r>
    </w:p>
    <w:p w14:paraId="46EB52E7" w14:textId="77777777" w:rsidR="00496C59" w:rsidRPr="00A979D4" w:rsidRDefault="00496C59" w:rsidP="00496C59">
      <w:pPr>
        <w:pStyle w:val="ListParagraph"/>
        <w:ind w:left="0"/>
        <w:rPr>
          <w:b w:val="0"/>
        </w:rPr>
      </w:pPr>
    </w:p>
    <w:p w14:paraId="4CD83EE9" w14:textId="77777777" w:rsidR="00496C59" w:rsidRPr="00A979D4" w:rsidRDefault="00496C59" w:rsidP="00496C59">
      <w:pPr>
        <w:pStyle w:val="ListParagraph"/>
        <w:numPr>
          <w:ilvl w:val="0"/>
          <w:numId w:val="1"/>
        </w:numPr>
        <w:rPr>
          <w:b w:val="0"/>
        </w:rPr>
      </w:pPr>
      <w:r w:rsidRPr="00A979D4">
        <w:rPr>
          <w:b w:val="0"/>
        </w:rPr>
        <w:t>Examples of types of panel instigated queries include (but are not limited to)</w:t>
      </w:r>
      <w:r w:rsidR="008A021E">
        <w:rPr>
          <w:b w:val="0"/>
        </w:rPr>
        <w:t xml:space="preserve"> the following</w:t>
      </w:r>
      <w:r w:rsidRPr="00A979D4">
        <w:rPr>
          <w:b w:val="0"/>
        </w:rPr>
        <w:t>:</w:t>
      </w:r>
    </w:p>
    <w:p w14:paraId="1EF24611" w14:textId="77777777" w:rsidR="00496C59" w:rsidRPr="00A979D4" w:rsidRDefault="00496C59" w:rsidP="00496C59">
      <w:pPr>
        <w:pStyle w:val="ListParagraph"/>
        <w:ind w:left="0"/>
        <w:rPr>
          <w:b w:val="0"/>
        </w:rPr>
      </w:pPr>
    </w:p>
    <w:p w14:paraId="4F76B059" w14:textId="77777777" w:rsidR="00496C59" w:rsidRPr="00A979D4" w:rsidRDefault="00267429" w:rsidP="00496C59">
      <w:pPr>
        <w:pStyle w:val="ListParagraph"/>
        <w:numPr>
          <w:ilvl w:val="1"/>
          <w:numId w:val="1"/>
        </w:numPr>
        <w:rPr>
          <w:b w:val="0"/>
        </w:rPr>
      </w:pPr>
      <w:r>
        <w:rPr>
          <w:b w:val="0"/>
        </w:rPr>
        <w:t>Research inde</w:t>
      </w:r>
      <w:r w:rsidR="00230E37">
        <w:rPr>
          <w:b w:val="0"/>
        </w:rPr>
        <w:t>pendence.</w:t>
      </w:r>
      <w:r w:rsidR="004735DB">
        <w:rPr>
          <w:b w:val="0"/>
        </w:rPr>
        <w:t xml:space="preserve"> </w:t>
      </w:r>
      <w:r w:rsidR="005C22F6">
        <w:rPr>
          <w:b w:val="0"/>
        </w:rPr>
        <w:t xml:space="preserve">Information may be requested to demonstrate </w:t>
      </w:r>
      <w:r w:rsidR="001C3EC3">
        <w:rPr>
          <w:b w:val="0"/>
        </w:rPr>
        <w:t>that staff employed on ‘research only’ contracts are independent researchers</w:t>
      </w:r>
      <w:r w:rsidR="00496C59" w:rsidRPr="00A979D4">
        <w:rPr>
          <w:b w:val="0"/>
        </w:rPr>
        <w:t>.</w:t>
      </w:r>
    </w:p>
    <w:p w14:paraId="17582CB0" w14:textId="77777777" w:rsidR="00496C59" w:rsidRPr="00A979D4" w:rsidRDefault="00496C59" w:rsidP="00496C59">
      <w:pPr>
        <w:pStyle w:val="ListParagraph"/>
        <w:ind w:left="0"/>
        <w:rPr>
          <w:b w:val="0"/>
        </w:rPr>
      </w:pPr>
    </w:p>
    <w:p w14:paraId="2CB7140F" w14:textId="77777777" w:rsidR="00496C59" w:rsidRPr="00A979D4" w:rsidRDefault="00496C59" w:rsidP="00496C59">
      <w:pPr>
        <w:pStyle w:val="ListParagraph"/>
        <w:numPr>
          <w:ilvl w:val="1"/>
          <w:numId w:val="1"/>
        </w:numPr>
        <w:rPr>
          <w:b w:val="0"/>
        </w:rPr>
      </w:pPr>
      <w:r w:rsidRPr="00A979D4">
        <w:rPr>
          <w:b w:val="0"/>
        </w:rPr>
        <w:t>Co-authorship. Details of an individual’s contribution to a co-authored output may be requested, to verify their substantial research contribution.</w:t>
      </w:r>
      <w:r w:rsidR="001529CB" w:rsidRPr="001529CB">
        <w:rPr>
          <w:b w:val="0"/>
        </w:rPr>
        <w:t xml:space="preserve"> </w:t>
      </w:r>
      <w:r w:rsidR="001529CB">
        <w:rPr>
          <w:b w:val="0"/>
        </w:rPr>
        <w:t>We expect HEIs to be able to identify the most appropriate evidence to verify the author’s contribution.</w:t>
      </w:r>
      <w:r w:rsidR="004735DB">
        <w:rPr>
          <w:b w:val="0"/>
        </w:rPr>
        <w:t xml:space="preserve"> </w:t>
      </w:r>
      <w:r w:rsidR="001529CB" w:rsidRPr="00646220">
        <w:rPr>
          <w:b w:val="0"/>
        </w:rPr>
        <w:t>Where this cannot be verified the output will be graded as ‘unclassified’</w:t>
      </w:r>
      <w:r w:rsidR="001529CB">
        <w:rPr>
          <w:b w:val="0"/>
        </w:rPr>
        <w:t>.</w:t>
      </w:r>
      <w:r w:rsidR="004735DB">
        <w:rPr>
          <w:b w:val="0"/>
        </w:rPr>
        <w:t xml:space="preserve"> </w:t>
      </w:r>
      <w:r w:rsidR="001529CB">
        <w:rPr>
          <w:b w:val="0"/>
        </w:rPr>
        <w:t>See paragraph 219 of the ‘</w:t>
      </w:r>
      <w:r w:rsidR="001529CB" w:rsidRPr="001827BF">
        <w:rPr>
          <w:b w:val="0"/>
        </w:rPr>
        <w:t xml:space="preserve">Panel </w:t>
      </w:r>
      <w:r w:rsidR="001529CB">
        <w:rPr>
          <w:b w:val="0"/>
        </w:rPr>
        <w:t>c</w:t>
      </w:r>
      <w:r w:rsidR="001529CB" w:rsidRPr="001827BF">
        <w:rPr>
          <w:b w:val="0"/>
        </w:rPr>
        <w:t xml:space="preserve">riteria and </w:t>
      </w:r>
      <w:r w:rsidR="001529CB">
        <w:rPr>
          <w:b w:val="0"/>
        </w:rPr>
        <w:t>w</w:t>
      </w:r>
      <w:r w:rsidR="001529CB" w:rsidRPr="001827BF">
        <w:rPr>
          <w:b w:val="0"/>
        </w:rPr>
        <w:t xml:space="preserve">orking </w:t>
      </w:r>
      <w:proofErr w:type="gramStart"/>
      <w:r w:rsidR="001529CB">
        <w:rPr>
          <w:b w:val="0"/>
        </w:rPr>
        <w:t>m</w:t>
      </w:r>
      <w:r w:rsidR="001529CB" w:rsidRPr="001827BF">
        <w:rPr>
          <w:b w:val="0"/>
        </w:rPr>
        <w:t>ethods</w:t>
      </w:r>
      <w:r w:rsidR="001529CB">
        <w:rPr>
          <w:b w:val="0"/>
        </w:rPr>
        <w:t>’</w:t>
      </w:r>
      <w:proofErr w:type="gramEnd"/>
      <w:r w:rsidR="001529CB">
        <w:rPr>
          <w:b w:val="0"/>
        </w:rPr>
        <w:t>.</w:t>
      </w:r>
      <w:r w:rsidR="001529CB" w:rsidRPr="001529CB">
        <w:rPr>
          <w:b w:val="0"/>
        </w:rPr>
        <w:t xml:space="preserve"> </w:t>
      </w:r>
      <w:r w:rsidR="001529CB">
        <w:rPr>
          <w:b w:val="0"/>
        </w:rPr>
        <w:t>For outputs returned in submissions that are within Main Panels A and B, w</w:t>
      </w:r>
      <w:r w:rsidR="001529CB" w:rsidRPr="00646220">
        <w:rPr>
          <w:b w:val="0"/>
        </w:rPr>
        <w:t xml:space="preserve">here the author contribution has been included in the output acknowledgements, this will take precedence </w:t>
      </w:r>
      <w:r w:rsidR="001529CB">
        <w:rPr>
          <w:b w:val="0"/>
        </w:rPr>
        <w:t>over</w:t>
      </w:r>
      <w:r w:rsidR="001529CB" w:rsidRPr="00646220">
        <w:rPr>
          <w:b w:val="0"/>
        </w:rPr>
        <w:t xml:space="preserve"> the statement on co-authored outputs.</w:t>
      </w:r>
    </w:p>
    <w:p w14:paraId="06895F2A" w14:textId="77777777" w:rsidR="00496C59" w:rsidRPr="00A979D4" w:rsidRDefault="00496C59" w:rsidP="00496C59">
      <w:pPr>
        <w:pStyle w:val="ListParagraph"/>
        <w:ind w:left="0"/>
        <w:rPr>
          <w:b w:val="0"/>
        </w:rPr>
      </w:pPr>
    </w:p>
    <w:p w14:paraId="5F148E52" w14:textId="77777777" w:rsidR="00496C59" w:rsidRDefault="00496C59" w:rsidP="00496C59">
      <w:pPr>
        <w:pStyle w:val="ListParagraph"/>
        <w:numPr>
          <w:ilvl w:val="1"/>
          <w:numId w:val="1"/>
        </w:numPr>
        <w:rPr>
          <w:b w:val="0"/>
        </w:rPr>
      </w:pPr>
      <w:r w:rsidRPr="00A979D4">
        <w:rPr>
          <w:b w:val="0"/>
        </w:rPr>
        <w:t>Quality of research underpinning an impact case study. Where sub-panels consider there is a need to review underpinning research outputs to assure the quality threshold has been met, they will in the first instance seek to source the outputs themselves. Where this is not possible, we may request a copy of the output from the HEI. (Fifteen working days will be given to source the output. We will expect institutions to have ensured the outputs are potentially available, but do not expect or encourage HEIs to collect them in advance, in anticipation of a potential audit request.) Where an institution cannot provide a copy of an underpinning output on request (after the panel members have attempted to source it themselves), the sub-panel will disregard that output in the assessment.</w:t>
      </w:r>
    </w:p>
    <w:p w14:paraId="32A4C53E" w14:textId="77777777" w:rsidR="00110F45" w:rsidRPr="00110F45" w:rsidRDefault="00110F45" w:rsidP="00243DCC">
      <w:pPr>
        <w:pStyle w:val="ListParagraph"/>
        <w:rPr>
          <w:b w:val="0"/>
        </w:rPr>
      </w:pPr>
    </w:p>
    <w:p w14:paraId="762FB31D" w14:textId="77777777" w:rsidR="00110F45" w:rsidRDefault="00110F45" w:rsidP="00496C59">
      <w:pPr>
        <w:pStyle w:val="ListParagraph"/>
        <w:numPr>
          <w:ilvl w:val="1"/>
          <w:numId w:val="1"/>
        </w:numPr>
        <w:rPr>
          <w:b w:val="0"/>
        </w:rPr>
      </w:pPr>
      <w:r w:rsidRPr="00110F45">
        <w:rPr>
          <w:b w:val="0"/>
        </w:rPr>
        <w:t>We will look to the sub-panels to identify where submitted outputs in REF 2021 include significant material in common with outputs published prior to 1 January 2014.</w:t>
      </w:r>
      <w:r w:rsidR="004735DB">
        <w:rPr>
          <w:b w:val="0"/>
        </w:rPr>
        <w:t xml:space="preserve"> </w:t>
      </w:r>
      <w:r w:rsidRPr="00110F45">
        <w:rPr>
          <w:b w:val="0"/>
        </w:rPr>
        <w:t>In addition, where sub-panel members identify submitted outputs in REF 2021 that were also submitted as pre-published outputs in REF2014, these will be investigated</w:t>
      </w:r>
      <w:r w:rsidR="003E75F4">
        <w:rPr>
          <w:b w:val="0"/>
        </w:rPr>
        <w:t>.</w:t>
      </w:r>
    </w:p>
    <w:p w14:paraId="1EF74657" w14:textId="77777777" w:rsidR="0024367E" w:rsidRPr="00880A73" w:rsidRDefault="0024367E" w:rsidP="00496C59">
      <w:pPr>
        <w:pStyle w:val="ListParagraph"/>
        <w:rPr>
          <w:b w:val="0"/>
        </w:rPr>
      </w:pPr>
    </w:p>
    <w:p w14:paraId="0F52332D" w14:textId="7D81666F" w:rsidR="00496C59" w:rsidRDefault="00496C59" w:rsidP="00496C59">
      <w:pPr>
        <w:pStyle w:val="ListParagraph"/>
        <w:numPr>
          <w:ilvl w:val="0"/>
          <w:numId w:val="1"/>
        </w:numPr>
        <w:rPr>
          <w:b w:val="0"/>
        </w:rPr>
      </w:pPr>
      <w:r w:rsidRPr="00880A73">
        <w:rPr>
          <w:b w:val="0"/>
        </w:rPr>
        <w:t>Panel instigated audits can occur at any point throughout the assessment period</w:t>
      </w:r>
      <w:r w:rsidR="00727EB2">
        <w:rPr>
          <w:b w:val="0"/>
        </w:rPr>
        <w:t>.</w:t>
      </w:r>
      <w:r w:rsidRPr="00880A73">
        <w:rPr>
          <w:b w:val="0"/>
        </w:rPr>
        <w:t xml:space="preserve"> </w:t>
      </w:r>
      <w:proofErr w:type="gramStart"/>
      <w:r w:rsidR="00727EB2">
        <w:rPr>
          <w:b w:val="0"/>
        </w:rPr>
        <w:t>T</w:t>
      </w:r>
      <w:r w:rsidRPr="00880A73">
        <w:rPr>
          <w:b w:val="0"/>
        </w:rPr>
        <w:t>he majority of</w:t>
      </w:r>
      <w:proofErr w:type="gramEnd"/>
      <w:r w:rsidRPr="00880A73">
        <w:rPr>
          <w:b w:val="0"/>
        </w:rPr>
        <w:t xml:space="preserve"> these requests will occur between Jan</w:t>
      </w:r>
      <w:r w:rsidR="001473ED">
        <w:rPr>
          <w:b w:val="0"/>
        </w:rPr>
        <w:t>uary</w:t>
      </w:r>
      <w:r w:rsidRPr="00880A73">
        <w:rPr>
          <w:b w:val="0"/>
        </w:rPr>
        <w:t xml:space="preserve"> </w:t>
      </w:r>
      <w:r w:rsidR="001473ED">
        <w:rPr>
          <w:b w:val="0"/>
        </w:rPr>
        <w:t>and</w:t>
      </w:r>
      <w:r w:rsidRPr="00880A73">
        <w:rPr>
          <w:b w:val="0"/>
        </w:rPr>
        <w:t xml:space="preserve"> June 20</w:t>
      </w:r>
      <w:r w:rsidR="00C3622B">
        <w:rPr>
          <w:b w:val="0"/>
        </w:rPr>
        <w:t>2</w:t>
      </w:r>
      <w:r w:rsidRPr="00880A73">
        <w:rPr>
          <w:b w:val="0"/>
        </w:rPr>
        <w:t>1.</w:t>
      </w:r>
    </w:p>
    <w:p w14:paraId="5F820855" w14:textId="77777777" w:rsidR="002C174C" w:rsidRDefault="002C174C" w:rsidP="002C174C"/>
    <w:p w14:paraId="1A868D8E" w14:textId="77777777" w:rsidR="00496C59" w:rsidRPr="00880A73" w:rsidRDefault="00496C59" w:rsidP="00496C59">
      <w:pPr>
        <w:pStyle w:val="ListParagraph"/>
        <w:numPr>
          <w:ilvl w:val="0"/>
          <w:numId w:val="1"/>
        </w:numPr>
        <w:rPr>
          <w:b w:val="0"/>
        </w:rPr>
      </w:pPr>
      <w:r w:rsidRPr="00880A73">
        <w:rPr>
          <w:b w:val="0"/>
        </w:rPr>
        <w:t>Requests will require a response within 10 working days unless otherwise specified.</w:t>
      </w:r>
    </w:p>
    <w:p w14:paraId="36F150E9" w14:textId="77777777" w:rsidR="00904C19" w:rsidRPr="00205CA6" w:rsidRDefault="00904C19" w:rsidP="00205CA6">
      <w:pPr>
        <w:pStyle w:val="ListParagraph"/>
        <w:ind w:left="0"/>
        <w:rPr>
          <w:b w:val="0"/>
        </w:rPr>
      </w:pPr>
    </w:p>
    <w:p w14:paraId="62B9C9B1" w14:textId="77777777" w:rsidR="00CF084B" w:rsidRDefault="00CF084B">
      <w:r>
        <w:br w:type="page"/>
      </w:r>
    </w:p>
    <w:p w14:paraId="0C7B7D58" w14:textId="134DE106" w:rsidR="00CF084B" w:rsidRDefault="00475833" w:rsidP="00453797">
      <w:pPr>
        <w:pStyle w:val="Heading3"/>
      </w:pPr>
      <w:r>
        <w:lastRenderedPageBreak/>
        <w:t>Appendix:</w:t>
      </w:r>
      <w:r w:rsidR="00CF084B">
        <w:t xml:space="preserve"> </w:t>
      </w:r>
      <w:r w:rsidR="00727EB2">
        <w:t>s</w:t>
      </w:r>
      <w:r w:rsidR="00F344A7">
        <w:t xml:space="preserve">uggested </w:t>
      </w:r>
      <w:r w:rsidR="00727EB2">
        <w:t>p</w:t>
      </w:r>
      <w:r w:rsidR="00F344A7">
        <w:t xml:space="preserve">rocess </w:t>
      </w:r>
      <w:r w:rsidR="00727EB2">
        <w:t>f</w:t>
      </w:r>
      <w:r w:rsidR="00F344A7">
        <w:t xml:space="preserve">ramework </w:t>
      </w:r>
      <w:r w:rsidR="00727EB2">
        <w:t>f</w:t>
      </w:r>
      <w:r w:rsidR="00F344A7">
        <w:t xml:space="preserve">or </w:t>
      </w:r>
      <w:r w:rsidR="00727EB2">
        <w:t>o</w:t>
      </w:r>
      <w:r w:rsidR="00F344A7">
        <w:t xml:space="preserve">pen </w:t>
      </w:r>
      <w:r w:rsidR="00727EB2">
        <w:t>a</w:t>
      </w:r>
      <w:r w:rsidR="00F344A7">
        <w:t>ccess</w:t>
      </w:r>
    </w:p>
    <w:p w14:paraId="78845DF9" w14:textId="77777777" w:rsidR="00CF084B" w:rsidRDefault="00CF084B" w:rsidP="00496C59">
      <w:pPr>
        <w:spacing w:line="300" w:lineRule="atLeast"/>
      </w:pPr>
    </w:p>
    <w:p w14:paraId="091624D4" w14:textId="533801B3" w:rsidR="00C227B4" w:rsidRDefault="00C227B4" w:rsidP="00990213">
      <w:pPr>
        <w:pStyle w:val="ListParagraph"/>
        <w:numPr>
          <w:ilvl w:val="0"/>
          <w:numId w:val="12"/>
        </w:numPr>
        <w:rPr>
          <w:b w:val="0"/>
        </w:rPr>
      </w:pPr>
      <w:r>
        <w:rPr>
          <w:b w:val="0"/>
        </w:rPr>
        <w:t xml:space="preserve">This is not intended to be a prescriptive </w:t>
      </w:r>
      <w:r w:rsidR="007A3096">
        <w:rPr>
          <w:b w:val="0"/>
        </w:rPr>
        <w:t xml:space="preserve">description of </w:t>
      </w:r>
      <w:r w:rsidR="00291944">
        <w:rPr>
          <w:b w:val="0"/>
        </w:rPr>
        <w:t xml:space="preserve">the way </w:t>
      </w:r>
      <w:r w:rsidR="00640633">
        <w:rPr>
          <w:b w:val="0"/>
        </w:rPr>
        <w:t xml:space="preserve">that </w:t>
      </w:r>
      <w:r w:rsidR="00291944">
        <w:rPr>
          <w:b w:val="0"/>
        </w:rPr>
        <w:t xml:space="preserve">HEIs should manage their </w:t>
      </w:r>
      <w:r w:rsidR="00640633">
        <w:rPr>
          <w:b w:val="0"/>
        </w:rPr>
        <w:t>compliance with the REF o</w:t>
      </w:r>
      <w:r w:rsidR="00291944">
        <w:rPr>
          <w:b w:val="0"/>
        </w:rPr>
        <w:t xml:space="preserve">pen </w:t>
      </w:r>
      <w:r w:rsidR="00640633">
        <w:rPr>
          <w:b w:val="0"/>
        </w:rPr>
        <w:t>a</w:t>
      </w:r>
      <w:r w:rsidR="00291944">
        <w:rPr>
          <w:b w:val="0"/>
        </w:rPr>
        <w:t>ccess policy, as we recognise that there will be a range of approaches across the sector.</w:t>
      </w:r>
      <w:r w:rsidR="004735DB">
        <w:rPr>
          <w:b w:val="0"/>
        </w:rPr>
        <w:t xml:space="preserve"> </w:t>
      </w:r>
      <w:r w:rsidR="00291944">
        <w:rPr>
          <w:b w:val="0"/>
        </w:rPr>
        <w:t xml:space="preserve">However, it provides </w:t>
      </w:r>
      <w:r w:rsidR="00783240">
        <w:rPr>
          <w:b w:val="0"/>
        </w:rPr>
        <w:t xml:space="preserve">some indicators of </w:t>
      </w:r>
      <w:r w:rsidR="00D07D7F">
        <w:rPr>
          <w:b w:val="0"/>
        </w:rPr>
        <w:t xml:space="preserve">good practice which we would expect to see within </w:t>
      </w:r>
      <w:r w:rsidR="00312CBE">
        <w:rPr>
          <w:b w:val="0"/>
        </w:rPr>
        <w:t>a well-managed process.</w:t>
      </w:r>
    </w:p>
    <w:p w14:paraId="318F86CC" w14:textId="77777777" w:rsidR="00312CBE" w:rsidRDefault="00312CBE" w:rsidP="00174AD2">
      <w:pPr>
        <w:pStyle w:val="ListParagraph"/>
        <w:ind w:left="0"/>
        <w:rPr>
          <w:b w:val="0"/>
        </w:rPr>
      </w:pPr>
    </w:p>
    <w:p w14:paraId="6A331946" w14:textId="59177350" w:rsidR="00312CBE" w:rsidRDefault="00312CBE" w:rsidP="00764057">
      <w:pPr>
        <w:pStyle w:val="ListParagraph"/>
        <w:numPr>
          <w:ilvl w:val="0"/>
          <w:numId w:val="12"/>
        </w:numPr>
        <w:rPr>
          <w:b w:val="0"/>
        </w:rPr>
      </w:pPr>
      <w:r>
        <w:rPr>
          <w:b w:val="0"/>
        </w:rPr>
        <w:t xml:space="preserve">The following are </w:t>
      </w:r>
      <w:r w:rsidR="00D613B1">
        <w:rPr>
          <w:b w:val="0"/>
        </w:rPr>
        <w:t xml:space="preserve">some </w:t>
      </w:r>
      <w:r>
        <w:rPr>
          <w:b w:val="0"/>
        </w:rPr>
        <w:t xml:space="preserve">general descriptors of </w:t>
      </w:r>
      <w:r w:rsidR="00FA331F">
        <w:rPr>
          <w:b w:val="0"/>
        </w:rPr>
        <w:t>characteristics</w:t>
      </w:r>
      <w:r>
        <w:rPr>
          <w:b w:val="0"/>
        </w:rPr>
        <w:t xml:space="preserve"> </w:t>
      </w:r>
      <w:r w:rsidR="001419A4">
        <w:rPr>
          <w:b w:val="0"/>
        </w:rPr>
        <w:t xml:space="preserve">that we would expect to see within a </w:t>
      </w:r>
      <w:r w:rsidR="00B61B60">
        <w:rPr>
          <w:b w:val="0"/>
        </w:rPr>
        <w:t xml:space="preserve">well-managed </w:t>
      </w:r>
      <w:r w:rsidR="001419A4">
        <w:rPr>
          <w:b w:val="0"/>
        </w:rPr>
        <w:t>process for managing compliance</w:t>
      </w:r>
      <w:r w:rsidR="00877874">
        <w:rPr>
          <w:b w:val="0"/>
        </w:rPr>
        <w:t xml:space="preserve"> with the REF </w:t>
      </w:r>
      <w:r w:rsidR="00B61B60">
        <w:rPr>
          <w:b w:val="0"/>
        </w:rPr>
        <w:t>o</w:t>
      </w:r>
      <w:r w:rsidR="00D064F0">
        <w:rPr>
          <w:b w:val="0"/>
        </w:rPr>
        <w:t xml:space="preserve">pen </w:t>
      </w:r>
      <w:r w:rsidR="00B61B60">
        <w:rPr>
          <w:b w:val="0"/>
        </w:rPr>
        <w:t>a</w:t>
      </w:r>
      <w:r w:rsidR="00D064F0">
        <w:rPr>
          <w:b w:val="0"/>
        </w:rPr>
        <w:t>ccess policy</w:t>
      </w:r>
      <w:r w:rsidR="001419A4">
        <w:rPr>
          <w:b w:val="0"/>
        </w:rPr>
        <w:t>:</w:t>
      </w:r>
    </w:p>
    <w:p w14:paraId="455D721D" w14:textId="77777777" w:rsidR="00C227B4" w:rsidRDefault="00C227B4" w:rsidP="00174AD2">
      <w:pPr>
        <w:pStyle w:val="ListParagraph"/>
        <w:ind w:left="0"/>
        <w:rPr>
          <w:b w:val="0"/>
        </w:rPr>
      </w:pPr>
    </w:p>
    <w:p w14:paraId="2CEF9AA7" w14:textId="40D39FAF" w:rsidR="00A74E94" w:rsidRDefault="002A519A" w:rsidP="00764057">
      <w:pPr>
        <w:pStyle w:val="ListParagraph"/>
        <w:numPr>
          <w:ilvl w:val="1"/>
          <w:numId w:val="12"/>
        </w:numPr>
        <w:rPr>
          <w:b w:val="0"/>
        </w:rPr>
      </w:pPr>
      <w:r>
        <w:rPr>
          <w:b w:val="0"/>
        </w:rPr>
        <w:t xml:space="preserve">A </w:t>
      </w:r>
      <w:r w:rsidR="00B83443">
        <w:rPr>
          <w:b w:val="0"/>
        </w:rPr>
        <w:t>description</w:t>
      </w:r>
      <w:r>
        <w:rPr>
          <w:b w:val="0"/>
        </w:rPr>
        <w:t xml:space="preserve"> of the process, which may be narrative and/or diagrammatic</w:t>
      </w:r>
      <w:r w:rsidR="004D4EEA">
        <w:rPr>
          <w:b w:val="0"/>
        </w:rPr>
        <w:t>.</w:t>
      </w:r>
      <w:r w:rsidR="004735DB">
        <w:rPr>
          <w:b w:val="0"/>
        </w:rPr>
        <w:t xml:space="preserve"> </w:t>
      </w:r>
      <w:r w:rsidR="004D4EEA">
        <w:rPr>
          <w:b w:val="0"/>
        </w:rPr>
        <w:t xml:space="preserve">The process document </w:t>
      </w:r>
      <w:r w:rsidR="005E72A4" w:rsidRPr="00174AD2">
        <w:rPr>
          <w:b w:val="0"/>
        </w:rPr>
        <w:t>does</w:t>
      </w:r>
      <w:r w:rsidR="004D4EEA">
        <w:rPr>
          <w:b w:val="0"/>
        </w:rPr>
        <w:t xml:space="preserve"> </w:t>
      </w:r>
      <w:r w:rsidR="004D4EEA" w:rsidRPr="00174AD2">
        <w:rPr>
          <w:b w:val="0"/>
        </w:rPr>
        <w:t>n</w:t>
      </w:r>
      <w:r w:rsidR="004D4EEA">
        <w:rPr>
          <w:b w:val="0"/>
        </w:rPr>
        <w:t>o</w:t>
      </w:r>
      <w:r w:rsidR="004D4EEA" w:rsidRPr="00174AD2">
        <w:rPr>
          <w:b w:val="0"/>
        </w:rPr>
        <w:t xml:space="preserve">t </w:t>
      </w:r>
      <w:r w:rsidR="005E72A4" w:rsidRPr="00174AD2">
        <w:rPr>
          <w:b w:val="0"/>
        </w:rPr>
        <w:t xml:space="preserve">need to be dated </w:t>
      </w:r>
      <w:r w:rsidR="00B61B60">
        <w:rPr>
          <w:b w:val="0"/>
        </w:rPr>
        <w:t>or</w:t>
      </w:r>
      <w:r w:rsidR="005E72A4" w:rsidRPr="00174AD2">
        <w:rPr>
          <w:b w:val="0"/>
        </w:rPr>
        <w:t xml:space="preserve"> version-controlled</w:t>
      </w:r>
      <w:r w:rsidR="004D4EEA">
        <w:rPr>
          <w:b w:val="0"/>
        </w:rPr>
        <w:t>,</w:t>
      </w:r>
      <w:r w:rsidR="000D54BD" w:rsidRPr="00174AD2">
        <w:rPr>
          <w:b w:val="0"/>
        </w:rPr>
        <w:t xml:space="preserve"> as we recognise that these should be operational documents </w:t>
      </w:r>
      <w:r w:rsidR="00142664">
        <w:rPr>
          <w:b w:val="0"/>
        </w:rPr>
        <w:t>which</w:t>
      </w:r>
      <w:r w:rsidR="00142664" w:rsidRPr="00174AD2">
        <w:rPr>
          <w:b w:val="0"/>
        </w:rPr>
        <w:t xml:space="preserve"> </w:t>
      </w:r>
      <w:r w:rsidR="00F468F5" w:rsidRPr="00174AD2">
        <w:rPr>
          <w:b w:val="0"/>
        </w:rPr>
        <w:t>will be reviewed and updated</w:t>
      </w:r>
      <w:r w:rsidR="00142664" w:rsidRPr="00142664">
        <w:rPr>
          <w:b w:val="0"/>
        </w:rPr>
        <w:t xml:space="preserve"> </w:t>
      </w:r>
      <w:r w:rsidR="00142664" w:rsidRPr="00174AD2">
        <w:rPr>
          <w:b w:val="0"/>
        </w:rPr>
        <w:t>regularly</w:t>
      </w:r>
      <w:r w:rsidR="004D4EEA">
        <w:rPr>
          <w:b w:val="0"/>
        </w:rPr>
        <w:t>.</w:t>
      </w:r>
      <w:r w:rsidR="004735DB">
        <w:rPr>
          <w:b w:val="0"/>
        </w:rPr>
        <w:t xml:space="preserve"> </w:t>
      </w:r>
      <w:r w:rsidR="003806D9">
        <w:rPr>
          <w:b w:val="0"/>
        </w:rPr>
        <w:t xml:space="preserve">We would </w:t>
      </w:r>
      <w:r w:rsidR="006944AB">
        <w:rPr>
          <w:b w:val="0"/>
        </w:rPr>
        <w:t xml:space="preserve">not </w:t>
      </w:r>
      <w:r w:rsidR="003806D9">
        <w:rPr>
          <w:b w:val="0"/>
        </w:rPr>
        <w:t xml:space="preserve">expect </w:t>
      </w:r>
      <w:r w:rsidR="006944AB">
        <w:rPr>
          <w:b w:val="0"/>
        </w:rPr>
        <w:t xml:space="preserve">an HEI’s normal process </w:t>
      </w:r>
      <w:r w:rsidR="00990B2B">
        <w:rPr>
          <w:b w:val="0"/>
        </w:rPr>
        <w:t xml:space="preserve">for managing </w:t>
      </w:r>
      <w:r w:rsidR="007B797F">
        <w:rPr>
          <w:b w:val="0"/>
        </w:rPr>
        <w:t>o</w:t>
      </w:r>
      <w:r w:rsidR="00990B2B">
        <w:rPr>
          <w:b w:val="0"/>
        </w:rPr>
        <w:t xml:space="preserve">pen </w:t>
      </w:r>
      <w:r w:rsidR="007B797F">
        <w:rPr>
          <w:b w:val="0"/>
        </w:rPr>
        <w:t>a</w:t>
      </w:r>
      <w:r w:rsidR="00990B2B">
        <w:rPr>
          <w:b w:val="0"/>
        </w:rPr>
        <w:t xml:space="preserve">ccess </w:t>
      </w:r>
      <w:r w:rsidR="006944AB">
        <w:rPr>
          <w:b w:val="0"/>
        </w:rPr>
        <w:t>to be solely based on REF requirements, but it may contain REF-specific elements</w:t>
      </w:r>
      <w:r w:rsidR="00472669">
        <w:rPr>
          <w:b w:val="0"/>
        </w:rPr>
        <w:t>.</w:t>
      </w:r>
    </w:p>
    <w:p w14:paraId="7F0CC385" w14:textId="77777777" w:rsidR="00A51F39" w:rsidRDefault="00A51F39" w:rsidP="0017383B">
      <w:pPr>
        <w:pStyle w:val="ListParagraph"/>
        <w:ind w:left="0"/>
        <w:rPr>
          <w:b w:val="0"/>
        </w:rPr>
      </w:pPr>
    </w:p>
    <w:p w14:paraId="27B5B0C4" w14:textId="11A1E494" w:rsidR="00A51F39" w:rsidRDefault="007B797F" w:rsidP="00764057">
      <w:pPr>
        <w:pStyle w:val="ListParagraph"/>
        <w:numPr>
          <w:ilvl w:val="1"/>
          <w:numId w:val="12"/>
        </w:numPr>
        <w:rPr>
          <w:b w:val="0"/>
        </w:rPr>
      </w:pPr>
      <w:r>
        <w:rPr>
          <w:b w:val="0"/>
        </w:rPr>
        <w:t>A d</w:t>
      </w:r>
      <w:r w:rsidR="00A51F39">
        <w:rPr>
          <w:b w:val="0"/>
        </w:rPr>
        <w:t xml:space="preserve">escription of the sources of data that </w:t>
      </w:r>
      <w:r w:rsidR="00D72903">
        <w:rPr>
          <w:b w:val="0"/>
        </w:rPr>
        <w:t xml:space="preserve">are </w:t>
      </w:r>
      <w:r w:rsidR="00A51F39">
        <w:rPr>
          <w:b w:val="0"/>
        </w:rPr>
        <w:t>use</w:t>
      </w:r>
      <w:r w:rsidR="00D72903">
        <w:rPr>
          <w:b w:val="0"/>
        </w:rPr>
        <w:t>d</w:t>
      </w:r>
      <w:r w:rsidR="00A51F39">
        <w:rPr>
          <w:b w:val="0"/>
        </w:rPr>
        <w:t xml:space="preserve"> in the process, and </w:t>
      </w:r>
      <w:r w:rsidR="00BC4806">
        <w:rPr>
          <w:b w:val="0"/>
        </w:rPr>
        <w:t xml:space="preserve">of </w:t>
      </w:r>
      <w:r w:rsidR="00A51F39">
        <w:rPr>
          <w:b w:val="0"/>
        </w:rPr>
        <w:t xml:space="preserve">how </w:t>
      </w:r>
      <w:r w:rsidR="00D72903">
        <w:rPr>
          <w:b w:val="0"/>
        </w:rPr>
        <w:t xml:space="preserve">these are </w:t>
      </w:r>
      <w:r w:rsidR="009D0497">
        <w:rPr>
          <w:b w:val="0"/>
        </w:rPr>
        <w:t>verif</w:t>
      </w:r>
      <w:r w:rsidR="00D72903">
        <w:rPr>
          <w:b w:val="0"/>
        </w:rPr>
        <w:t>ied.</w:t>
      </w:r>
    </w:p>
    <w:p w14:paraId="004B14F7" w14:textId="77777777" w:rsidR="00802F61" w:rsidRDefault="00802F61" w:rsidP="0017383B">
      <w:pPr>
        <w:pStyle w:val="ListParagraph"/>
        <w:ind w:left="0"/>
        <w:rPr>
          <w:b w:val="0"/>
        </w:rPr>
      </w:pPr>
    </w:p>
    <w:p w14:paraId="5B6FFF53" w14:textId="77777777" w:rsidR="00ED3936" w:rsidRPr="00063E8B" w:rsidRDefault="00ED3936" w:rsidP="00764057">
      <w:pPr>
        <w:pStyle w:val="ListParagraph"/>
        <w:numPr>
          <w:ilvl w:val="1"/>
          <w:numId w:val="12"/>
        </w:numPr>
        <w:rPr>
          <w:b w:val="0"/>
        </w:rPr>
      </w:pPr>
      <w:r>
        <w:rPr>
          <w:b w:val="0"/>
        </w:rPr>
        <w:t xml:space="preserve">How the </w:t>
      </w:r>
      <w:r w:rsidR="00926B1B">
        <w:rPr>
          <w:b w:val="0"/>
        </w:rPr>
        <w:t xml:space="preserve">REF-specific elements of the </w:t>
      </w:r>
      <w:r>
        <w:rPr>
          <w:b w:val="0"/>
        </w:rPr>
        <w:t>process handle decisions about whether outputs are</w:t>
      </w:r>
      <w:r w:rsidR="00063E8B">
        <w:rPr>
          <w:b w:val="0"/>
        </w:rPr>
        <w:t>:</w:t>
      </w:r>
    </w:p>
    <w:p w14:paraId="72A30AD0" w14:textId="77777777" w:rsidR="00ED3936" w:rsidRDefault="00ED3936" w:rsidP="00764057">
      <w:pPr>
        <w:pStyle w:val="ListParagraph"/>
        <w:numPr>
          <w:ilvl w:val="2"/>
          <w:numId w:val="12"/>
        </w:numPr>
        <w:rPr>
          <w:b w:val="0"/>
        </w:rPr>
      </w:pPr>
      <w:r>
        <w:rPr>
          <w:b w:val="0"/>
        </w:rPr>
        <w:t xml:space="preserve">In or out of </w:t>
      </w:r>
      <w:r w:rsidR="0017406A">
        <w:rPr>
          <w:b w:val="0"/>
        </w:rPr>
        <w:t>scope</w:t>
      </w:r>
      <w:r w:rsidR="004A2689">
        <w:rPr>
          <w:b w:val="0"/>
        </w:rPr>
        <w:t>.</w:t>
      </w:r>
    </w:p>
    <w:p w14:paraId="73E2B8DB" w14:textId="77777777" w:rsidR="00ED3936" w:rsidRDefault="004A2689" w:rsidP="00764057">
      <w:pPr>
        <w:pStyle w:val="ListParagraph"/>
        <w:numPr>
          <w:ilvl w:val="2"/>
          <w:numId w:val="12"/>
        </w:numPr>
        <w:rPr>
          <w:b w:val="0"/>
        </w:rPr>
      </w:pPr>
      <w:r>
        <w:rPr>
          <w:b w:val="0"/>
        </w:rPr>
        <w:t>C</w:t>
      </w:r>
      <w:r w:rsidR="00ED3936">
        <w:rPr>
          <w:b w:val="0"/>
        </w:rPr>
        <w:t>ompliant or not compliant with the policy</w:t>
      </w:r>
      <w:r>
        <w:rPr>
          <w:b w:val="0"/>
        </w:rPr>
        <w:t>.</w:t>
      </w:r>
    </w:p>
    <w:p w14:paraId="5BDAADF5" w14:textId="2D6B921C" w:rsidR="00802F61" w:rsidRDefault="004A2689" w:rsidP="00764057">
      <w:pPr>
        <w:pStyle w:val="ListParagraph"/>
        <w:numPr>
          <w:ilvl w:val="2"/>
          <w:numId w:val="12"/>
        </w:numPr>
        <w:rPr>
          <w:b w:val="0"/>
        </w:rPr>
      </w:pPr>
      <w:r>
        <w:rPr>
          <w:b w:val="0"/>
        </w:rPr>
        <w:t>U</w:t>
      </w:r>
      <w:r w:rsidR="00063E8B">
        <w:rPr>
          <w:b w:val="0"/>
        </w:rPr>
        <w:t xml:space="preserve">sing a valid </w:t>
      </w:r>
      <w:r w:rsidR="0017406A">
        <w:rPr>
          <w:b w:val="0"/>
        </w:rPr>
        <w:t>exception</w:t>
      </w:r>
      <w:r w:rsidR="00063E8B">
        <w:rPr>
          <w:b w:val="0"/>
        </w:rPr>
        <w:t>.</w:t>
      </w:r>
      <w:r w:rsidR="004735DB">
        <w:rPr>
          <w:b w:val="0"/>
        </w:rPr>
        <w:t xml:space="preserve"> </w:t>
      </w:r>
      <w:proofErr w:type="gramStart"/>
      <w:r w:rsidR="00063E8B">
        <w:rPr>
          <w:b w:val="0"/>
        </w:rPr>
        <w:t>In particular, how</w:t>
      </w:r>
      <w:proofErr w:type="gramEnd"/>
      <w:r w:rsidR="00063E8B">
        <w:rPr>
          <w:b w:val="0"/>
        </w:rPr>
        <w:t xml:space="preserve"> the process ensures that </w:t>
      </w:r>
      <w:r w:rsidR="0019462F">
        <w:rPr>
          <w:b w:val="0"/>
        </w:rPr>
        <w:t>the appropriate exception is used, and avoids over</w:t>
      </w:r>
      <w:r w:rsidR="00E44C95">
        <w:rPr>
          <w:b w:val="0"/>
        </w:rPr>
        <w:t>ly</w:t>
      </w:r>
      <w:r w:rsidR="00063E8B" w:rsidRPr="00047873">
        <w:rPr>
          <w:b w:val="0"/>
        </w:rPr>
        <w:t xml:space="preserve"> broad interpretation</w:t>
      </w:r>
      <w:r w:rsidR="00E44C95">
        <w:rPr>
          <w:b w:val="0"/>
        </w:rPr>
        <w:t>s</w:t>
      </w:r>
      <w:r w:rsidR="00063E8B" w:rsidRPr="00047873">
        <w:rPr>
          <w:b w:val="0"/>
        </w:rPr>
        <w:t xml:space="preserve"> of exceptions, especially </w:t>
      </w:r>
      <w:r w:rsidR="00E44C95">
        <w:rPr>
          <w:b w:val="0"/>
        </w:rPr>
        <w:t xml:space="preserve">the </w:t>
      </w:r>
      <w:r w:rsidR="005A77BD">
        <w:rPr>
          <w:b w:val="0"/>
        </w:rPr>
        <w:t>‘</w:t>
      </w:r>
      <w:r w:rsidR="00063E8B" w:rsidRPr="00047873">
        <w:rPr>
          <w:b w:val="0"/>
        </w:rPr>
        <w:t>other</w:t>
      </w:r>
      <w:r w:rsidR="005A77BD">
        <w:rPr>
          <w:b w:val="0"/>
        </w:rPr>
        <w:t>’</w:t>
      </w:r>
      <w:r w:rsidR="00E44C95">
        <w:rPr>
          <w:b w:val="0"/>
        </w:rPr>
        <w:t xml:space="preserve"> exception</w:t>
      </w:r>
      <w:r w:rsidR="00047873" w:rsidRPr="00047873">
        <w:rPr>
          <w:b w:val="0"/>
        </w:rPr>
        <w:t>.</w:t>
      </w:r>
    </w:p>
    <w:p w14:paraId="6F506858" w14:textId="77777777" w:rsidR="00A74E94" w:rsidRDefault="00A74E94" w:rsidP="0017383B">
      <w:pPr>
        <w:pStyle w:val="ListParagraph"/>
        <w:ind w:left="0"/>
        <w:rPr>
          <w:b w:val="0"/>
        </w:rPr>
      </w:pPr>
    </w:p>
    <w:p w14:paraId="7ABFD7B9" w14:textId="1E445570" w:rsidR="00A74E94" w:rsidRDefault="007C1432" w:rsidP="00764057">
      <w:pPr>
        <w:pStyle w:val="ListParagraph"/>
        <w:numPr>
          <w:ilvl w:val="1"/>
          <w:numId w:val="12"/>
        </w:numPr>
        <w:rPr>
          <w:b w:val="0"/>
        </w:rPr>
      </w:pPr>
      <w:r>
        <w:rPr>
          <w:b w:val="0"/>
        </w:rPr>
        <w:t xml:space="preserve">How the </w:t>
      </w:r>
      <w:r w:rsidR="00E44C95">
        <w:rPr>
          <w:b w:val="0"/>
        </w:rPr>
        <w:t xml:space="preserve">HEI </w:t>
      </w:r>
      <w:r w:rsidR="008D2B45">
        <w:rPr>
          <w:b w:val="0"/>
        </w:rPr>
        <w:t>addresses</w:t>
      </w:r>
      <w:r w:rsidR="00144BED">
        <w:rPr>
          <w:b w:val="0"/>
        </w:rPr>
        <w:t xml:space="preserve"> </w:t>
      </w:r>
      <w:r w:rsidR="00BC4806">
        <w:rPr>
          <w:b w:val="0"/>
        </w:rPr>
        <w:t>‘</w:t>
      </w:r>
      <w:r w:rsidR="00144BED">
        <w:rPr>
          <w:b w:val="0"/>
        </w:rPr>
        <w:t>Gold</w:t>
      </w:r>
      <w:r w:rsidR="00BC4806">
        <w:rPr>
          <w:b w:val="0"/>
        </w:rPr>
        <w:t>’</w:t>
      </w:r>
      <w:r w:rsidR="00144BED">
        <w:rPr>
          <w:b w:val="0"/>
        </w:rPr>
        <w:t xml:space="preserve"> </w:t>
      </w:r>
      <w:r w:rsidR="00436A7C">
        <w:rPr>
          <w:b w:val="0"/>
        </w:rPr>
        <w:t>o</w:t>
      </w:r>
      <w:r w:rsidR="00E44C95">
        <w:rPr>
          <w:b w:val="0"/>
        </w:rPr>
        <w:t xml:space="preserve">pen </w:t>
      </w:r>
      <w:r w:rsidR="00436A7C">
        <w:rPr>
          <w:b w:val="0"/>
        </w:rPr>
        <w:t>a</w:t>
      </w:r>
      <w:r w:rsidR="00E44C95">
        <w:rPr>
          <w:b w:val="0"/>
        </w:rPr>
        <w:t>ccess.</w:t>
      </w:r>
    </w:p>
    <w:p w14:paraId="2CC3D9CE" w14:textId="77777777" w:rsidR="00442267" w:rsidRPr="001827BF" w:rsidRDefault="00442267" w:rsidP="00174AD2"/>
    <w:p w14:paraId="70878894" w14:textId="2330B275" w:rsidR="00442267" w:rsidRDefault="00643444" w:rsidP="00764057">
      <w:pPr>
        <w:pStyle w:val="ListParagraph"/>
        <w:numPr>
          <w:ilvl w:val="1"/>
          <w:numId w:val="12"/>
        </w:numPr>
        <w:rPr>
          <w:b w:val="0"/>
        </w:rPr>
      </w:pPr>
      <w:r>
        <w:rPr>
          <w:b w:val="0"/>
        </w:rPr>
        <w:t>Measures to</w:t>
      </w:r>
      <w:r w:rsidR="00442267">
        <w:rPr>
          <w:b w:val="0"/>
        </w:rPr>
        <w:t xml:space="preserve"> train staff on the process, and </w:t>
      </w:r>
      <w:r w:rsidR="002A1FEA">
        <w:rPr>
          <w:b w:val="0"/>
        </w:rPr>
        <w:t>the</w:t>
      </w:r>
      <w:r w:rsidR="00D30699">
        <w:rPr>
          <w:b w:val="0"/>
        </w:rPr>
        <w:t xml:space="preserve"> </w:t>
      </w:r>
      <w:r w:rsidR="00442267">
        <w:rPr>
          <w:b w:val="0"/>
        </w:rPr>
        <w:t>monitor</w:t>
      </w:r>
      <w:r w:rsidR="00BC4E36">
        <w:rPr>
          <w:b w:val="0"/>
        </w:rPr>
        <w:t>ing</w:t>
      </w:r>
      <w:r w:rsidR="00442267">
        <w:rPr>
          <w:b w:val="0"/>
        </w:rPr>
        <w:t xml:space="preserve"> </w:t>
      </w:r>
      <w:r w:rsidR="002A1FEA">
        <w:rPr>
          <w:b w:val="0"/>
        </w:rPr>
        <w:t xml:space="preserve">of </w:t>
      </w:r>
      <w:r w:rsidR="00442267">
        <w:rPr>
          <w:b w:val="0"/>
        </w:rPr>
        <w:t>the operation of the process.</w:t>
      </w:r>
    </w:p>
    <w:p w14:paraId="1A8F8051" w14:textId="77777777" w:rsidR="004B3251" w:rsidRPr="008011B1" w:rsidRDefault="004B3251" w:rsidP="00AE4288"/>
    <w:p w14:paraId="0E3A624B" w14:textId="77777777" w:rsidR="455E0BC8" w:rsidRDefault="00643444" w:rsidP="00764057">
      <w:pPr>
        <w:pStyle w:val="ListParagraph"/>
        <w:numPr>
          <w:ilvl w:val="1"/>
          <w:numId w:val="12"/>
        </w:numPr>
        <w:rPr>
          <w:b w:val="0"/>
        </w:rPr>
      </w:pPr>
      <w:r>
        <w:rPr>
          <w:b w:val="0"/>
        </w:rPr>
        <w:t>C</w:t>
      </w:r>
      <w:r w:rsidR="5D90C9AA">
        <w:rPr>
          <w:b w:val="0"/>
        </w:rPr>
        <w:t xml:space="preserve">ommunication strategies with authors regarding policy </w:t>
      </w:r>
      <w:r w:rsidR="455E0BC8">
        <w:rPr>
          <w:b w:val="0"/>
        </w:rPr>
        <w:t>requirements</w:t>
      </w:r>
      <w:r w:rsidR="008714B3">
        <w:rPr>
          <w:b w:val="0"/>
        </w:rPr>
        <w:t>.</w:t>
      </w:r>
    </w:p>
    <w:p w14:paraId="70D999EE" w14:textId="77777777" w:rsidR="004B3251" w:rsidRPr="00AE4288" w:rsidRDefault="004B3251" w:rsidP="00AE4288">
      <w:pPr>
        <w:pStyle w:val="ListParagraph"/>
        <w:ind w:left="567"/>
        <w:rPr>
          <w:b w:val="0"/>
        </w:rPr>
      </w:pPr>
    </w:p>
    <w:p w14:paraId="66F332A0" w14:textId="5D721EC4" w:rsidR="00144BED" w:rsidRDefault="009E5398" w:rsidP="00764057">
      <w:pPr>
        <w:pStyle w:val="ListParagraph"/>
        <w:numPr>
          <w:ilvl w:val="1"/>
          <w:numId w:val="12"/>
        </w:numPr>
        <w:rPr>
          <w:b w:val="0"/>
        </w:rPr>
      </w:pPr>
      <w:r>
        <w:rPr>
          <w:b w:val="0"/>
        </w:rPr>
        <w:t xml:space="preserve">An assessment of risks in the management of </w:t>
      </w:r>
      <w:r w:rsidR="00D30699">
        <w:rPr>
          <w:b w:val="0"/>
        </w:rPr>
        <w:t>o</w:t>
      </w:r>
      <w:r>
        <w:rPr>
          <w:b w:val="0"/>
        </w:rPr>
        <w:t xml:space="preserve">pen </w:t>
      </w:r>
      <w:r w:rsidR="00D30699">
        <w:rPr>
          <w:b w:val="0"/>
        </w:rPr>
        <w:t>a</w:t>
      </w:r>
      <w:r>
        <w:rPr>
          <w:b w:val="0"/>
        </w:rPr>
        <w:t>ccess</w:t>
      </w:r>
      <w:r w:rsidR="00392671">
        <w:rPr>
          <w:b w:val="0"/>
        </w:rPr>
        <w:t xml:space="preserve"> (</w:t>
      </w:r>
      <w:r w:rsidR="00D30699">
        <w:rPr>
          <w:b w:val="0"/>
        </w:rPr>
        <w:t>for example</w:t>
      </w:r>
      <w:r w:rsidR="00392671" w:rsidRPr="008714B3">
        <w:rPr>
          <w:b w:val="0"/>
        </w:rPr>
        <w:t xml:space="preserve"> </w:t>
      </w:r>
      <w:r w:rsidR="00AA13B1" w:rsidRPr="008714B3">
        <w:rPr>
          <w:b w:val="0"/>
        </w:rPr>
        <w:t>poor data collection,</w:t>
      </w:r>
      <w:r w:rsidR="00BC4703">
        <w:rPr>
          <w:b w:val="0"/>
        </w:rPr>
        <w:t xml:space="preserve"> </w:t>
      </w:r>
      <w:r w:rsidR="00A3090A">
        <w:rPr>
          <w:b w:val="0"/>
        </w:rPr>
        <w:t>and</w:t>
      </w:r>
      <w:r w:rsidR="00AA13B1" w:rsidRPr="008714B3">
        <w:rPr>
          <w:b w:val="0"/>
        </w:rPr>
        <w:t xml:space="preserve"> inconsistent application of exceptions</w:t>
      </w:r>
      <w:r w:rsidR="00392671">
        <w:rPr>
          <w:b w:val="0"/>
        </w:rPr>
        <w:t>)</w:t>
      </w:r>
      <w:r>
        <w:rPr>
          <w:b w:val="0"/>
        </w:rPr>
        <w:t xml:space="preserve">, </w:t>
      </w:r>
      <w:r w:rsidR="00802F61">
        <w:rPr>
          <w:b w:val="0"/>
        </w:rPr>
        <w:t xml:space="preserve">and </w:t>
      </w:r>
      <w:r>
        <w:rPr>
          <w:b w:val="0"/>
        </w:rPr>
        <w:t xml:space="preserve">appropriate </w:t>
      </w:r>
      <w:r w:rsidR="00802F61">
        <w:rPr>
          <w:b w:val="0"/>
        </w:rPr>
        <w:t>mitigations</w:t>
      </w:r>
      <w:r>
        <w:rPr>
          <w:b w:val="0"/>
        </w:rPr>
        <w:t xml:space="preserve"> that the HEI has put in place.</w:t>
      </w:r>
    </w:p>
    <w:p w14:paraId="1AEA0503" w14:textId="77777777" w:rsidR="009D0497" w:rsidRPr="009A23E6" w:rsidRDefault="009D0497" w:rsidP="0017383B"/>
    <w:p w14:paraId="1ECEF23F" w14:textId="430467D8" w:rsidR="009D0497" w:rsidRDefault="009B335D" w:rsidP="00764057">
      <w:pPr>
        <w:pStyle w:val="ListParagraph"/>
        <w:numPr>
          <w:ilvl w:val="1"/>
          <w:numId w:val="12"/>
        </w:numPr>
        <w:rPr>
          <w:b w:val="0"/>
        </w:rPr>
      </w:pPr>
      <w:r>
        <w:rPr>
          <w:b w:val="0"/>
        </w:rPr>
        <w:t>Processes</w:t>
      </w:r>
      <w:r w:rsidR="00533640">
        <w:rPr>
          <w:b w:val="0"/>
        </w:rPr>
        <w:t xml:space="preserve"> for producing</w:t>
      </w:r>
      <w:r w:rsidR="009D0497">
        <w:rPr>
          <w:b w:val="0"/>
        </w:rPr>
        <w:t xml:space="preserve"> </w:t>
      </w:r>
      <w:r w:rsidR="00A3090A">
        <w:rPr>
          <w:b w:val="0"/>
        </w:rPr>
        <w:t>m</w:t>
      </w:r>
      <w:r w:rsidR="009D0497">
        <w:rPr>
          <w:b w:val="0"/>
        </w:rPr>
        <w:t xml:space="preserve">anagement </w:t>
      </w:r>
      <w:r w:rsidR="00A3090A">
        <w:rPr>
          <w:b w:val="0"/>
        </w:rPr>
        <w:t>i</w:t>
      </w:r>
      <w:r w:rsidR="009D0497">
        <w:rPr>
          <w:b w:val="0"/>
        </w:rPr>
        <w:t xml:space="preserve">nformation </w:t>
      </w:r>
      <w:r w:rsidR="000A3E0E">
        <w:rPr>
          <w:b w:val="0"/>
        </w:rPr>
        <w:t>and</w:t>
      </w:r>
      <w:r w:rsidR="009D0497">
        <w:rPr>
          <w:b w:val="0"/>
        </w:rPr>
        <w:t>/</w:t>
      </w:r>
      <w:r w:rsidR="000A3E0E">
        <w:rPr>
          <w:b w:val="0"/>
        </w:rPr>
        <w:t>or</w:t>
      </w:r>
      <w:r w:rsidR="009D0497">
        <w:rPr>
          <w:b w:val="0"/>
        </w:rPr>
        <w:t xml:space="preserve"> reporting</w:t>
      </w:r>
      <w:r w:rsidR="000A3E0E">
        <w:rPr>
          <w:b w:val="0"/>
        </w:rPr>
        <w:t>.</w:t>
      </w:r>
    </w:p>
    <w:p w14:paraId="04303089" w14:textId="77777777" w:rsidR="00A74E94" w:rsidRPr="0006341F" w:rsidRDefault="00A74E94" w:rsidP="00496C59">
      <w:pPr>
        <w:spacing w:line="300" w:lineRule="atLeast"/>
      </w:pPr>
    </w:p>
    <w:sectPr w:rsidR="00A74E94" w:rsidRPr="0006341F" w:rsidSect="007863AC">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F75D0" w14:textId="77777777" w:rsidR="00A77D4E" w:rsidRDefault="00A77D4E" w:rsidP="005B5C19">
      <w:pPr>
        <w:spacing w:line="240" w:lineRule="auto"/>
      </w:pPr>
      <w:r>
        <w:separator/>
      </w:r>
    </w:p>
  </w:endnote>
  <w:endnote w:type="continuationSeparator" w:id="0">
    <w:p w14:paraId="0D1BC9BC" w14:textId="77777777" w:rsidR="00A77D4E" w:rsidRDefault="00A77D4E" w:rsidP="005B5C19">
      <w:pPr>
        <w:spacing w:line="240" w:lineRule="auto"/>
      </w:pPr>
      <w:r>
        <w:continuationSeparator/>
      </w:r>
    </w:p>
  </w:endnote>
  <w:endnote w:type="continuationNotice" w:id="1">
    <w:p w14:paraId="4FFFC9D7" w14:textId="77777777" w:rsidR="00A77D4E" w:rsidRDefault="00A77D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DC77" w14:textId="268820AF" w:rsidR="00397861" w:rsidRDefault="00397861">
    <w:pPr>
      <w:pStyle w:val="Footer"/>
      <w:jc w:val="center"/>
    </w:pPr>
  </w:p>
  <w:p w14:paraId="2538C9C0" w14:textId="75023611" w:rsidR="00397861" w:rsidRDefault="00397861" w:rsidP="003978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50B27" w14:textId="77777777" w:rsidR="00812E2D" w:rsidRDefault="00812E2D">
    <w:pPr>
      <w:pStyle w:val="Footer"/>
      <w:jc w:val="center"/>
    </w:pPr>
    <w:r>
      <w:fldChar w:fldCharType="begin"/>
    </w:r>
    <w:r>
      <w:instrText xml:space="preserve"> PAGE  \* Arabic  \* MERGEFORMAT </w:instrText>
    </w:r>
    <w:r>
      <w:fldChar w:fldCharType="separate"/>
    </w:r>
    <w:r>
      <w:rPr>
        <w:noProof/>
      </w:rPr>
      <w:t>1</w:t>
    </w:r>
    <w:r>
      <w:fldChar w:fldCharType="end"/>
    </w:r>
  </w:p>
  <w:p w14:paraId="28999223" w14:textId="77777777" w:rsidR="00812E2D" w:rsidRDefault="00812E2D" w:rsidP="003978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320E" w14:textId="77777777" w:rsidR="00A77D4E" w:rsidRDefault="00A77D4E" w:rsidP="005B5C19">
      <w:pPr>
        <w:spacing w:line="240" w:lineRule="auto"/>
      </w:pPr>
      <w:r>
        <w:separator/>
      </w:r>
    </w:p>
  </w:footnote>
  <w:footnote w:type="continuationSeparator" w:id="0">
    <w:p w14:paraId="380E8510" w14:textId="77777777" w:rsidR="00A77D4E" w:rsidRDefault="00A77D4E" w:rsidP="005B5C19">
      <w:pPr>
        <w:spacing w:line="240" w:lineRule="auto"/>
      </w:pPr>
      <w:r>
        <w:continuationSeparator/>
      </w:r>
    </w:p>
  </w:footnote>
  <w:footnote w:type="continuationNotice" w:id="1">
    <w:p w14:paraId="27CC9D6C" w14:textId="77777777" w:rsidR="00A77D4E" w:rsidRDefault="00A77D4E">
      <w:pPr>
        <w:spacing w:line="240" w:lineRule="auto"/>
      </w:pPr>
    </w:p>
  </w:footnote>
  <w:footnote w:id="2">
    <w:p w14:paraId="5488550E" w14:textId="672B6003" w:rsidR="00397861" w:rsidRPr="001827BF" w:rsidRDefault="00397861">
      <w:pPr>
        <w:pStyle w:val="FootnoteText"/>
        <w:rPr>
          <w:lang w:val="en-US"/>
        </w:rPr>
      </w:pPr>
      <w:r>
        <w:rPr>
          <w:rStyle w:val="FootnoteReference"/>
        </w:rPr>
        <w:footnoteRef/>
      </w:r>
      <w:r>
        <w:t xml:space="preserve"> </w:t>
      </w:r>
      <w:r>
        <w:rPr>
          <w:lang w:val="en-US"/>
        </w:rPr>
        <w:t xml:space="preserve">Open access will follow a different process, as set out in paragraphs </w:t>
      </w:r>
      <w:r>
        <w:rPr>
          <w:highlight w:val="yellow"/>
          <w:lang w:val="en-US"/>
        </w:rPr>
        <w:fldChar w:fldCharType="begin"/>
      </w:r>
      <w:r>
        <w:rPr>
          <w:lang w:val="en-US"/>
        </w:rPr>
        <w:instrText xml:space="preserve"> REF _Ref10557543 \r \h </w:instrText>
      </w:r>
      <w:r>
        <w:rPr>
          <w:highlight w:val="yellow"/>
          <w:lang w:val="en-US"/>
        </w:rPr>
      </w:r>
      <w:r>
        <w:rPr>
          <w:highlight w:val="yellow"/>
          <w:lang w:val="en-US"/>
        </w:rPr>
        <w:fldChar w:fldCharType="separate"/>
      </w:r>
      <w:r>
        <w:rPr>
          <w:lang w:val="en-US"/>
        </w:rPr>
        <w:t>46</w:t>
      </w:r>
      <w:r>
        <w:rPr>
          <w:highlight w:val="yellow"/>
          <w:lang w:val="en-US"/>
        </w:rPr>
        <w:fldChar w:fldCharType="end"/>
      </w:r>
      <w:r>
        <w:rPr>
          <w:lang w:val="en-US"/>
        </w:rPr>
        <w:t>–</w:t>
      </w:r>
      <w:r>
        <w:rPr>
          <w:highlight w:val="yellow"/>
          <w:lang w:val="en-US"/>
        </w:rPr>
        <w:fldChar w:fldCharType="begin"/>
      </w:r>
      <w:r>
        <w:rPr>
          <w:lang w:val="en-US"/>
        </w:rPr>
        <w:instrText xml:space="preserve"> REF _Ref10557651 \r \h </w:instrText>
      </w:r>
      <w:r>
        <w:rPr>
          <w:highlight w:val="yellow"/>
          <w:lang w:val="en-US"/>
        </w:rPr>
      </w:r>
      <w:r>
        <w:rPr>
          <w:highlight w:val="yellow"/>
          <w:lang w:val="en-US"/>
        </w:rPr>
        <w:fldChar w:fldCharType="separate"/>
      </w:r>
      <w:r>
        <w:rPr>
          <w:lang w:val="en-US"/>
        </w:rPr>
        <w:t>56</w:t>
      </w:r>
      <w:r>
        <w:rPr>
          <w:highlight w:val="yellow"/>
          <w:lang w:val="en-US"/>
        </w:rPr>
        <w:fldChar w:fldCharType="end"/>
      </w:r>
      <w:r>
        <w:rPr>
          <w:lang w:val="en-US"/>
        </w:rPr>
        <w:t>.</w:t>
      </w:r>
    </w:p>
  </w:footnote>
  <w:footnote w:id="3">
    <w:p w14:paraId="0D33E5B0" w14:textId="77777777" w:rsidR="00397861" w:rsidRPr="0017383B" w:rsidRDefault="00397861">
      <w:pPr>
        <w:pStyle w:val="FootnoteText"/>
        <w:rPr>
          <w:lang w:val="en-US"/>
        </w:rPr>
      </w:pPr>
      <w:r>
        <w:rPr>
          <w:rStyle w:val="FootnoteReference"/>
        </w:rPr>
        <w:footnoteRef/>
      </w:r>
      <w:r>
        <w:t xml:space="preserve"> URL: </w:t>
      </w:r>
      <w:hyperlink r:id="rId1" w:history="1">
        <w:r>
          <w:rPr>
            <w:rStyle w:val="Hyperlink"/>
          </w:rPr>
          <w:t>https://webarchive.nationalarchives.gov.uk/20180405125333/http://www.hefce.ac.uk/media/hefce/content/What,we,do/Research/OA/Open%20access%20in%20the%20next%20REF%20information%20and%20audit%20requirements.pdf</w:t>
        </w:r>
      </w:hyperlink>
    </w:p>
  </w:footnote>
  <w:footnote w:id="4">
    <w:p w14:paraId="1AFF3E1F" w14:textId="50ECABDF" w:rsidR="00397861" w:rsidRPr="00C72E4B" w:rsidRDefault="00397861">
      <w:pPr>
        <w:pStyle w:val="FootnoteText"/>
        <w:rPr>
          <w:lang w:val="en-US"/>
        </w:rPr>
      </w:pPr>
      <w:r>
        <w:rPr>
          <w:rStyle w:val="FootnoteReference"/>
        </w:rPr>
        <w:footnoteRef/>
      </w:r>
      <w:r>
        <w:t xml:space="preserve"> </w:t>
      </w:r>
      <w:r>
        <w:rPr>
          <w:lang w:val="en-US"/>
        </w:rPr>
        <w:t xml:space="preserve">It is the expectation of the REF that HEIs’ HR and payroll systems are able to provide, on request, information about the status of staff and contracts as at the census date. It is the responsibility of HEIs to ensure they </w:t>
      </w:r>
      <w:proofErr w:type="gramStart"/>
      <w:r>
        <w:rPr>
          <w:lang w:val="en-US"/>
        </w:rPr>
        <w:t>are able to</w:t>
      </w:r>
      <w:proofErr w:type="gramEnd"/>
      <w:r>
        <w:rPr>
          <w:lang w:val="en-US"/>
        </w:rPr>
        <w:t xml:space="preserve"> meet this expectation.</w:t>
      </w:r>
    </w:p>
  </w:footnote>
  <w:footnote w:id="5">
    <w:p w14:paraId="4CFEF30B" w14:textId="77777777" w:rsidR="00397861" w:rsidRPr="00467662" w:rsidRDefault="00397861">
      <w:pPr>
        <w:pStyle w:val="FootnoteText"/>
        <w:rPr>
          <w:lang w:val="en-US"/>
        </w:rPr>
      </w:pPr>
      <w:r>
        <w:rPr>
          <w:rStyle w:val="FootnoteReference"/>
        </w:rPr>
        <w:footnoteRef/>
      </w:r>
      <w:r>
        <w:t xml:space="preserve"> </w:t>
      </w:r>
      <w:r w:rsidRPr="00AA518A">
        <w:t>www.crossref.org</w:t>
      </w:r>
    </w:p>
  </w:footnote>
  <w:footnote w:id="6">
    <w:p w14:paraId="6BBEC748" w14:textId="77777777" w:rsidR="00397861" w:rsidRPr="00467662" w:rsidRDefault="00397861">
      <w:pPr>
        <w:pStyle w:val="FootnoteText"/>
        <w:rPr>
          <w:lang w:val="en-US"/>
        </w:rPr>
      </w:pPr>
      <w:r>
        <w:rPr>
          <w:rStyle w:val="FootnoteReference"/>
        </w:rPr>
        <w:footnoteRef/>
      </w:r>
      <w:r>
        <w:t xml:space="preserve"> </w:t>
      </w:r>
      <w:r w:rsidRPr="007F6A6E">
        <w:t>core.ac.uk</w:t>
      </w:r>
    </w:p>
  </w:footnote>
  <w:footnote w:id="7">
    <w:p w14:paraId="10F010A4" w14:textId="13322A7C" w:rsidR="00397861" w:rsidRPr="00747A93" w:rsidRDefault="00397861">
      <w:pPr>
        <w:pStyle w:val="FootnoteText"/>
        <w:rPr>
          <w:lang w:val="en-US"/>
        </w:rPr>
      </w:pPr>
      <w:r>
        <w:rPr>
          <w:rStyle w:val="FootnoteReference"/>
        </w:rPr>
        <w:footnoteRef/>
      </w:r>
      <w:r>
        <w:t xml:space="preserve"> </w:t>
      </w:r>
      <w:r>
        <w:rPr>
          <w:lang w:val="en-US"/>
        </w:rPr>
        <w:t xml:space="preserve">The ranking method will seek to </w:t>
      </w:r>
      <w:proofErr w:type="gramStart"/>
      <w:r>
        <w:rPr>
          <w:lang w:val="en-US"/>
        </w:rPr>
        <w:t>take into account</w:t>
      </w:r>
      <w:proofErr w:type="gramEnd"/>
      <w:r>
        <w:rPr>
          <w:lang w:val="en-US"/>
        </w:rPr>
        <w:t xml:space="preserve"> any discipline variations that may affect each of the elements under paragraph </w:t>
      </w:r>
      <w:r>
        <w:rPr>
          <w:lang w:val="en-US"/>
        </w:rPr>
        <w:fldChar w:fldCharType="begin"/>
      </w:r>
      <w:r>
        <w:rPr>
          <w:lang w:val="en-US"/>
        </w:rPr>
        <w:instrText xml:space="preserve"> REF _Ref10620585 \r \h </w:instrText>
      </w:r>
      <w:r>
        <w:rPr>
          <w:lang w:val="en-US"/>
        </w:rPr>
      </w:r>
      <w:r>
        <w:rPr>
          <w:lang w:val="en-US"/>
        </w:rPr>
        <w:fldChar w:fldCharType="separate"/>
      </w:r>
      <w:r>
        <w:rPr>
          <w:lang w:val="en-US"/>
        </w:rPr>
        <w:t>46.b</w:t>
      </w:r>
      <w:r>
        <w:rPr>
          <w:lang w:val="en-US"/>
        </w:rPr>
        <w:fldChar w:fldCharType="end"/>
      </w:r>
      <w:r>
        <w:rPr>
          <w:lang w:val="en-US"/>
        </w:rPr>
        <w:t>.</w:t>
      </w:r>
    </w:p>
  </w:footnote>
  <w:footnote w:id="8">
    <w:p w14:paraId="64BB243D" w14:textId="77777777" w:rsidR="00397861" w:rsidRPr="001827BF" w:rsidRDefault="00397861">
      <w:pPr>
        <w:pStyle w:val="FootnoteText"/>
        <w:rPr>
          <w:lang w:val="en-US"/>
        </w:rPr>
      </w:pPr>
      <w:r>
        <w:rPr>
          <w:rStyle w:val="FootnoteReference"/>
        </w:rPr>
        <w:footnoteRef/>
      </w:r>
      <w:r>
        <w:t xml:space="preserve"> ‘</w:t>
      </w:r>
      <w:r w:rsidRPr="001827BF">
        <w:rPr>
          <w:lang w:val="en-US"/>
        </w:rPr>
        <w:t xml:space="preserve">Guidance on </w:t>
      </w:r>
      <w:r>
        <w:rPr>
          <w:lang w:val="en-US"/>
        </w:rPr>
        <w:t>s</w:t>
      </w:r>
      <w:r w:rsidRPr="001827BF">
        <w:rPr>
          <w:lang w:val="en-US"/>
        </w:rPr>
        <w:t>ubmissions</w:t>
      </w:r>
      <w:r>
        <w:rPr>
          <w:lang w:val="en-US"/>
        </w:rPr>
        <w:t>’</w:t>
      </w:r>
      <w:r w:rsidRPr="00A91E5E">
        <w:rPr>
          <w:lang w:val="en-US"/>
        </w:rPr>
        <w:t>, paragraph 210.</w:t>
      </w:r>
    </w:p>
  </w:footnote>
  <w:footnote w:id="9">
    <w:p w14:paraId="7A6A2EFE" w14:textId="77777777" w:rsidR="00397861" w:rsidRPr="00DE28D1" w:rsidRDefault="00397861">
      <w:pPr>
        <w:pStyle w:val="FootnoteText"/>
        <w:rPr>
          <w:lang w:val="en-US"/>
        </w:rPr>
      </w:pPr>
      <w:r>
        <w:rPr>
          <w:rStyle w:val="FootnoteReference"/>
        </w:rPr>
        <w:footnoteRef/>
      </w:r>
      <w:r>
        <w:t xml:space="preserve"> See ‘</w:t>
      </w:r>
      <w:r w:rsidRPr="001827BF">
        <w:t xml:space="preserve">Guidance on </w:t>
      </w:r>
      <w:r>
        <w:t>s</w:t>
      </w:r>
      <w:r w:rsidRPr="001827BF">
        <w:t>ubmissions</w:t>
      </w:r>
      <w:r>
        <w:t>’ paragraph 331.</w:t>
      </w:r>
    </w:p>
  </w:footnote>
  <w:footnote w:id="10">
    <w:p w14:paraId="5699C99F" w14:textId="77777777" w:rsidR="00397861" w:rsidRPr="0003487C" w:rsidRDefault="00397861">
      <w:pPr>
        <w:pStyle w:val="FootnoteText"/>
        <w:rPr>
          <w:lang w:val="en-US"/>
        </w:rPr>
      </w:pPr>
      <w:r>
        <w:rPr>
          <w:rStyle w:val="FootnoteReference"/>
        </w:rPr>
        <w:footnoteRef/>
      </w:r>
      <w:r>
        <w:t xml:space="preserve"> UKRI Gateway to Research - </w:t>
      </w:r>
      <w:r w:rsidRPr="008A2ECE">
        <w:t>gtr.ukri.org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CAEA" w14:textId="3341B8B1" w:rsidR="00397861" w:rsidRDefault="00397861" w:rsidP="00397861">
    <w:pPr>
      <w:pStyle w:val="Header"/>
      <w:jc w:val="right"/>
    </w:pPr>
    <w:r w:rsidRPr="000C62A4">
      <w:rPr>
        <w:noProof/>
        <w:sz w:val="36"/>
        <w:szCs w:val="36"/>
      </w:rPr>
      <w:drawing>
        <wp:anchor distT="0" distB="0" distL="114300" distR="114300" simplePos="0" relativeHeight="251659264" behindDoc="0" locked="0" layoutInCell="1" allowOverlap="1" wp14:anchorId="7B573E82" wp14:editId="34A1680A">
          <wp:simplePos x="0" y="0"/>
          <wp:positionH relativeFrom="column">
            <wp:posOffset>3810000</wp:posOffset>
          </wp:positionH>
          <wp:positionV relativeFrom="paragraph">
            <wp:posOffset>-267335</wp:posOffset>
          </wp:positionV>
          <wp:extent cx="2419200" cy="500400"/>
          <wp:effectExtent l="0" t="0" r="635" b="0"/>
          <wp:wrapNone/>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192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AEB0" w14:textId="62814079" w:rsidR="00C91855" w:rsidRDefault="00C91855">
    <w:pPr>
      <w:pStyle w:val="Header"/>
    </w:pPr>
    <w:r w:rsidRPr="000C62A4">
      <w:rPr>
        <w:noProof/>
        <w:sz w:val="36"/>
        <w:szCs w:val="36"/>
      </w:rPr>
      <w:drawing>
        <wp:anchor distT="0" distB="0" distL="114300" distR="114300" simplePos="0" relativeHeight="251661312" behindDoc="0" locked="0" layoutInCell="1" allowOverlap="1" wp14:anchorId="13933F9F" wp14:editId="75807516">
          <wp:simplePos x="0" y="0"/>
          <wp:positionH relativeFrom="column">
            <wp:posOffset>4000500</wp:posOffset>
          </wp:positionH>
          <wp:positionV relativeFrom="paragraph">
            <wp:posOffset>-238760</wp:posOffset>
          </wp:positionV>
          <wp:extent cx="2419200" cy="500400"/>
          <wp:effectExtent l="0" t="0" r="635" b="0"/>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192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BE5"/>
    <w:multiLevelType w:val="multilevel"/>
    <w:tmpl w:val="AA0038E8"/>
    <w:lvl w:ilvl="0">
      <w:start w:val="1"/>
      <w:numFmt w:val="decimal"/>
      <w:lvlRestart w:val="0"/>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07370434"/>
    <w:multiLevelType w:val="hybridMultilevel"/>
    <w:tmpl w:val="E9C01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26232E"/>
    <w:multiLevelType w:val="multilevel"/>
    <w:tmpl w:val="A082242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 w15:restartNumberingAfterBreak="0">
    <w:nsid w:val="11F769F8"/>
    <w:multiLevelType w:val="multilevel"/>
    <w:tmpl w:val="234A4E50"/>
    <w:lvl w:ilvl="0">
      <w:start w:val="1"/>
      <w:numFmt w:val="bullet"/>
      <w:lvlText w:val=""/>
      <w:lvlJc w:val="left"/>
      <w:pPr>
        <w:tabs>
          <w:tab w:val="num" w:pos="-147"/>
        </w:tabs>
        <w:ind w:left="-714" w:firstLine="0"/>
      </w:pPr>
      <w:rPr>
        <w:rFonts w:ascii="Symbol" w:hAnsi="Symbol" w:hint="default"/>
      </w:rPr>
    </w:lvl>
    <w:lvl w:ilvl="1">
      <w:start w:val="1"/>
      <w:numFmt w:val="bullet"/>
      <w:lvlText w:val=""/>
      <w:lvlJc w:val="left"/>
      <w:pPr>
        <w:tabs>
          <w:tab w:val="num" w:pos="420"/>
        </w:tabs>
        <w:ind w:left="-147" w:firstLine="0"/>
      </w:pPr>
      <w:rPr>
        <w:rFonts w:ascii="Symbol" w:hAnsi="Symbol" w:hint="default"/>
      </w:rPr>
    </w:lvl>
    <w:lvl w:ilvl="2">
      <w:start w:val="1"/>
      <w:numFmt w:val="lowerRoman"/>
      <w:lvlText w:val="%3."/>
      <w:lvlJc w:val="left"/>
      <w:pPr>
        <w:tabs>
          <w:tab w:val="num" w:pos="987"/>
        </w:tabs>
        <w:ind w:left="420" w:firstLine="0"/>
      </w:pPr>
    </w:lvl>
    <w:lvl w:ilvl="3">
      <w:start w:val="1"/>
      <w:numFmt w:val="decimal"/>
      <w:lvlText w:val="%4)"/>
      <w:lvlJc w:val="left"/>
      <w:pPr>
        <w:tabs>
          <w:tab w:val="num" w:pos="1554"/>
        </w:tabs>
        <w:ind w:left="987" w:firstLine="0"/>
      </w:pPr>
    </w:lvl>
    <w:lvl w:ilvl="4">
      <w:start w:val="1"/>
      <w:numFmt w:val="lowerLetter"/>
      <w:lvlText w:val="%5)"/>
      <w:lvlJc w:val="left"/>
      <w:pPr>
        <w:tabs>
          <w:tab w:val="num" w:pos="2121"/>
        </w:tabs>
        <w:ind w:left="1554" w:firstLine="0"/>
      </w:pPr>
    </w:lvl>
    <w:lvl w:ilvl="5">
      <w:start w:val="1"/>
      <w:numFmt w:val="lowerRoman"/>
      <w:lvlText w:val="%6)"/>
      <w:lvlJc w:val="left"/>
      <w:pPr>
        <w:tabs>
          <w:tab w:val="num" w:pos="2688"/>
        </w:tabs>
        <w:ind w:left="2121" w:firstLine="0"/>
      </w:pPr>
    </w:lvl>
    <w:lvl w:ilvl="6">
      <w:start w:val="1"/>
      <w:numFmt w:val="decimal"/>
      <w:lvlText w:val="(%7)"/>
      <w:lvlJc w:val="left"/>
      <w:pPr>
        <w:tabs>
          <w:tab w:val="num" w:pos="3255"/>
        </w:tabs>
        <w:ind w:left="2688" w:firstLine="0"/>
      </w:pPr>
    </w:lvl>
    <w:lvl w:ilvl="7">
      <w:start w:val="1"/>
      <w:numFmt w:val="lowerLetter"/>
      <w:lvlText w:val="(%8)"/>
      <w:lvlJc w:val="left"/>
      <w:pPr>
        <w:tabs>
          <w:tab w:val="num" w:pos="3821"/>
        </w:tabs>
        <w:ind w:left="3255" w:firstLine="0"/>
      </w:pPr>
    </w:lvl>
    <w:lvl w:ilvl="8">
      <w:start w:val="1"/>
      <w:numFmt w:val="lowerRoman"/>
      <w:lvlText w:val="(%9)"/>
      <w:lvlJc w:val="left"/>
      <w:pPr>
        <w:tabs>
          <w:tab w:val="num" w:pos="4388"/>
        </w:tabs>
        <w:ind w:left="3821" w:firstLine="0"/>
      </w:pPr>
    </w:lvl>
  </w:abstractNum>
  <w:abstractNum w:abstractNumId="4" w15:restartNumberingAfterBreak="0">
    <w:nsid w:val="18D137DF"/>
    <w:multiLevelType w:val="hybridMultilevel"/>
    <w:tmpl w:val="4B8EDD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15FA7"/>
    <w:multiLevelType w:val="hybridMultilevel"/>
    <w:tmpl w:val="F564843A"/>
    <w:lvl w:ilvl="0" w:tplc="2A1A8180">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B2A35"/>
    <w:multiLevelType w:val="multilevel"/>
    <w:tmpl w:val="C4EABF66"/>
    <w:lvl w:ilvl="0">
      <w:start w:val="1"/>
      <w:numFmt w:val="bullet"/>
      <w:lvlText w:val=""/>
      <w:lvlJc w:val="left"/>
      <w:pPr>
        <w:tabs>
          <w:tab w:val="num" w:pos="1287"/>
        </w:tabs>
        <w:ind w:left="720" w:firstLine="0"/>
      </w:pPr>
      <w:rPr>
        <w:rFonts w:ascii="Symbol" w:hAnsi="Symbol" w:hint="default"/>
        <w:b w:val="0"/>
        <w:i w:val="0"/>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lvl>
    <w:lvl w:ilvl="3">
      <w:start w:val="1"/>
      <w:numFmt w:val="decimal"/>
      <w:lvlText w:val="%4)"/>
      <w:lvlJc w:val="left"/>
      <w:pPr>
        <w:tabs>
          <w:tab w:val="num" w:pos="2988"/>
        </w:tabs>
        <w:ind w:left="2421" w:firstLine="0"/>
      </w:pPr>
    </w:lvl>
    <w:lvl w:ilvl="4">
      <w:start w:val="1"/>
      <w:numFmt w:val="lowerLetter"/>
      <w:lvlText w:val="%5)"/>
      <w:lvlJc w:val="left"/>
      <w:pPr>
        <w:tabs>
          <w:tab w:val="num" w:pos="3555"/>
        </w:tabs>
        <w:ind w:left="2988" w:firstLine="0"/>
      </w:pPr>
    </w:lvl>
    <w:lvl w:ilvl="5">
      <w:start w:val="1"/>
      <w:numFmt w:val="lowerRoman"/>
      <w:lvlText w:val="%6)"/>
      <w:lvlJc w:val="left"/>
      <w:pPr>
        <w:tabs>
          <w:tab w:val="num" w:pos="4122"/>
        </w:tabs>
        <w:ind w:left="3555" w:firstLine="0"/>
      </w:pPr>
    </w:lvl>
    <w:lvl w:ilvl="6">
      <w:start w:val="1"/>
      <w:numFmt w:val="decimal"/>
      <w:lvlText w:val="(%7)"/>
      <w:lvlJc w:val="left"/>
      <w:pPr>
        <w:tabs>
          <w:tab w:val="num" w:pos="4689"/>
        </w:tabs>
        <w:ind w:left="4122" w:firstLine="0"/>
      </w:pPr>
    </w:lvl>
    <w:lvl w:ilvl="7">
      <w:start w:val="1"/>
      <w:numFmt w:val="lowerLetter"/>
      <w:lvlText w:val="(%8)"/>
      <w:lvlJc w:val="left"/>
      <w:pPr>
        <w:tabs>
          <w:tab w:val="num" w:pos="5255"/>
        </w:tabs>
        <w:ind w:left="4689" w:firstLine="0"/>
      </w:pPr>
    </w:lvl>
    <w:lvl w:ilvl="8">
      <w:start w:val="1"/>
      <w:numFmt w:val="lowerRoman"/>
      <w:lvlText w:val="(%9)"/>
      <w:lvlJc w:val="left"/>
      <w:pPr>
        <w:tabs>
          <w:tab w:val="num" w:pos="5822"/>
        </w:tabs>
        <w:ind w:left="5255" w:firstLine="0"/>
      </w:pPr>
    </w:lvl>
  </w:abstractNum>
  <w:abstractNum w:abstractNumId="7" w15:restartNumberingAfterBreak="0">
    <w:nsid w:val="2AA07F76"/>
    <w:multiLevelType w:val="hybridMultilevel"/>
    <w:tmpl w:val="6BB2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477020"/>
    <w:multiLevelType w:val="hybridMultilevel"/>
    <w:tmpl w:val="4B5C9A08"/>
    <w:lvl w:ilvl="0" w:tplc="993AF5A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D198B"/>
    <w:multiLevelType w:val="hybridMultilevel"/>
    <w:tmpl w:val="9A04300A"/>
    <w:lvl w:ilvl="0" w:tplc="52969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B12AA"/>
    <w:multiLevelType w:val="hybridMultilevel"/>
    <w:tmpl w:val="E202E344"/>
    <w:lvl w:ilvl="0" w:tplc="F03A6590">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150C5"/>
    <w:multiLevelType w:val="multilevel"/>
    <w:tmpl w:val="08108688"/>
    <w:lvl w:ilvl="0">
      <w:start w:val="1"/>
      <w:numFmt w:val="decimal"/>
      <w:lvlRestart w:val="0"/>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2" w15:restartNumberingAfterBreak="0">
    <w:nsid w:val="552530B4"/>
    <w:multiLevelType w:val="multilevel"/>
    <w:tmpl w:val="AA0038E8"/>
    <w:lvl w:ilvl="0">
      <w:start w:val="1"/>
      <w:numFmt w:val="decimal"/>
      <w:lvlRestart w:val="0"/>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3" w15:restartNumberingAfterBreak="0">
    <w:nsid w:val="76765CE4"/>
    <w:multiLevelType w:val="hybridMultilevel"/>
    <w:tmpl w:val="02B67AA0"/>
    <w:lvl w:ilvl="0" w:tplc="F26A512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23024"/>
    <w:multiLevelType w:val="multilevel"/>
    <w:tmpl w:val="08108688"/>
    <w:lvl w:ilvl="0">
      <w:start w:val="1"/>
      <w:numFmt w:val="decimal"/>
      <w:lvlRestart w:val="0"/>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5" w15:restartNumberingAfterBreak="0">
    <w:nsid w:val="7D1560CC"/>
    <w:multiLevelType w:val="hybridMultilevel"/>
    <w:tmpl w:val="905CC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0"/>
  </w:num>
  <w:num w:numId="4">
    <w:abstractNumId w:val="4"/>
  </w:num>
  <w:num w:numId="5">
    <w:abstractNumId w:val="1"/>
  </w:num>
  <w:num w:numId="6">
    <w:abstractNumId w:val="3"/>
  </w:num>
  <w:num w:numId="7">
    <w:abstractNumId w:val="2"/>
  </w:num>
  <w:num w:numId="8">
    <w:abstractNumId w:val="12"/>
  </w:num>
  <w:num w:numId="9">
    <w:abstractNumId w:val="10"/>
  </w:num>
  <w:num w:numId="10">
    <w:abstractNumId w:val="7"/>
  </w:num>
  <w:num w:numId="11">
    <w:abstractNumId w:val="9"/>
  </w:num>
  <w:num w:numId="12">
    <w:abstractNumId w:val="11"/>
  </w:num>
  <w:num w:numId="13">
    <w:abstractNumId w:val="8"/>
  </w:num>
  <w:num w:numId="14">
    <w:abstractNumId w:val="15"/>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32"/>
    <w:rsid w:val="000008EF"/>
    <w:rsid w:val="00001D29"/>
    <w:rsid w:val="00002F2B"/>
    <w:rsid w:val="0001130F"/>
    <w:rsid w:val="00011C93"/>
    <w:rsid w:val="000129C3"/>
    <w:rsid w:val="00016078"/>
    <w:rsid w:val="000167E3"/>
    <w:rsid w:val="000167FA"/>
    <w:rsid w:val="00017C6C"/>
    <w:rsid w:val="00021AD4"/>
    <w:rsid w:val="000220BF"/>
    <w:rsid w:val="00022244"/>
    <w:rsid w:val="0002277A"/>
    <w:rsid w:val="00022934"/>
    <w:rsid w:val="00022E3C"/>
    <w:rsid w:val="00023EF3"/>
    <w:rsid w:val="00023FF9"/>
    <w:rsid w:val="000240EF"/>
    <w:rsid w:val="000248F1"/>
    <w:rsid w:val="00024B83"/>
    <w:rsid w:val="0002556C"/>
    <w:rsid w:val="00025F57"/>
    <w:rsid w:val="00030E60"/>
    <w:rsid w:val="00030F58"/>
    <w:rsid w:val="00030F5C"/>
    <w:rsid w:val="000313BA"/>
    <w:rsid w:val="00034328"/>
    <w:rsid w:val="0003487C"/>
    <w:rsid w:val="0003557F"/>
    <w:rsid w:val="00036B54"/>
    <w:rsid w:val="0003728D"/>
    <w:rsid w:val="00041169"/>
    <w:rsid w:val="00041609"/>
    <w:rsid w:val="00042D3E"/>
    <w:rsid w:val="00042ED7"/>
    <w:rsid w:val="00044921"/>
    <w:rsid w:val="0004641D"/>
    <w:rsid w:val="000464DD"/>
    <w:rsid w:val="00046555"/>
    <w:rsid w:val="000467E5"/>
    <w:rsid w:val="00046DD3"/>
    <w:rsid w:val="00047873"/>
    <w:rsid w:val="000512BC"/>
    <w:rsid w:val="000551EA"/>
    <w:rsid w:val="00055E35"/>
    <w:rsid w:val="0006025C"/>
    <w:rsid w:val="0006112E"/>
    <w:rsid w:val="0006341F"/>
    <w:rsid w:val="00063E57"/>
    <w:rsid w:val="00063E8B"/>
    <w:rsid w:val="000654FF"/>
    <w:rsid w:val="00066DF0"/>
    <w:rsid w:val="000709A6"/>
    <w:rsid w:val="000725C1"/>
    <w:rsid w:val="00073383"/>
    <w:rsid w:val="00074226"/>
    <w:rsid w:val="00076633"/>
    <w:rsid w:val="00076733"/>
    <w:rsid w:val="00076BF6"/>
    <w:rsid w:val="00076FF0"/>
    <w:rsid w:val="0008023F"/>
    <w:rsid w:val="000808B4"/>
    <w:rsid w:val="00081A85"/>
    <w:rsid w:val="00082918"/>
    <w:rsid w:val="000831DF"/>
    <w:rsid w:val="00083303"/>
    <w:rsid w:val="00084DEE"/>
    <w:rsid w:val="0008565D"/>
    <w:rsid w:val="00085BC8"/>
    <w:rsid w:val="000860D3"/>
    <w:rsid w:val="00086716"/>
    <w:rsid w:val="000937AA"/>
    <w:rsid w:val="00093B39"/>
    <w:rsid w:val="00093C48"/>
    <w:rsid w:val="00093F01"/>
    <w:rsid w:val="000953C5"/>
    <w:rsid w:val="00096DEB"/>
    <w:rsid w:val="000A00DB"/>
    <w:rsid w:val="000A01B8"/>
    <w:rsid w:val="000A08BC"/>
    <w:rsid w:val="000A111D"/>
    <w:rsid w:val="000A267C"/>
    <w:rsid w:val="000A29D6"/>
    <w:rsid w:val="000A3E0E"/>
    <w:rsid w:val="000A5709"/>
    <w:rsid w:val="000A678F"/>
    <w:rsid w:val="000A6BB4"/>
    <w:rsid w:val="000A774C"/>
    <w:rsid w:val="000B1226"/>
    <w:rsid w:val="000B31BB"/>
    <w:rsid w:val="000B3DB7"/>
    <w:rsid w:val="000B67D8"/>
    <w:rsid w:val="000B778E"/>
    <w:rsid w:val="000B7D9E"/>
    <w:rsid w:val="000C1B3D"/>
    <w:rsid w:val="000C4C2B"/>
    <w:rsid w:val="000C59C2"/>
    <w:rsid w:val="000C63F4"/>
    <w:rsid w:val="000C739A"/>
    <w:rsid w:val="000C7797"/>
    <w:rsid w:val="000D03D5"/>
    <w:rsid w:val="000D1FA1"/>
    <w:rsid w:val="000D3F74"/>
    <w:rsid w:val="000D4964"/>
    <w:rsid w:val="000D5300"/>
    <w:rsid w:val="000D54BD"/>
    <w:rsid w:val="000D67A2"/>
    <w:rsid w:val="000D6819"/>
    <w:rsid w:val="000E2314"/>
    <w:rsid w:val="000E27CD"/>
    <w:rsid w:val="000E3FA2"/>
    <w:rsid w:val="000E6C81"/>
    <w:rsid w:val="000F06A1"/>
    <w:rsid w:val="000F0CA8"/>
    <w:rsid w:val="000F1E2B"/>
    <w:rsid w:val="000F3863"/>
    <w:rsid w:val="000F3E24"/>
    <w:rsid w:val="000F594F"/>
    <w:rsid w:val="000F60E3"/>
    <w:rsid w:val="000F6D46"/>
    <w:rsid w:val="000F7074"/>
    <w:rsid w:val="00100BA4"/>
    <w:rsid w:val="00100C38"/>
    <w:rsid w:val="00101A84"/>
    <w:rsid w:val="00103657"/>
    <w:rsid w:val="001043C1"/>
    <w:rsid w:val="00107005"/>
    <w:rsid w:val="00107035"/>
    <w:rsid w:val="00107983"/>
    <w:rsid w:val="00110B2A"/>
    <w:rsid w:val="00110F45"/>
    <w:rsid w:val="0011192F"/>
    <w:rsid w:val="00112829"/>
    <w:rsid w:val="00112875"/>
    <w:rsid w:val="001133B0"/>
    <w:rsid w:val="0011389E"/>
    <w:rsid w:val="001140B4"/>
    <w:rsid w:val="001161D0"/>
    <w:rsid w:val="001166A8"/>
    <w:rsid w:val="00120007"/>
    <w:rsid w:val="00120D79"/>
    <w:rsid w:val="0012122D"/>
    <w:rsid w:val="0012197A"/>
    <w:rsid w:val="00121DD9"/>
    <w:rsid w:val="001220B9"/>
    <w:rsid w:val="00122F96"/>
    <w:rsid w:val="001236B5"/>
    <w:rsid w:val="0012399D"/>
    <w:rsid w:val="00124151"/>
    <w:rsid w:val="00124631"/>
    <w:rsid w:val="001257FF"/>
    <w:rsid w:val="00125C17"/>
    <w:rsid w:val="00127CE2"/>
    <w:rsid w:val="001306B2"/>
    <w:rsid w:val="001306BD"/>
    <w:rsid w:val="00130D6B"/>
    <w:rsid w:val="001332B9"/>
    <w:rsid w:val="00133BC8"/>
    <w:rsid w:val="00133BD6"/>
    <w:rsid w:val="00134C5A"/>
    <w:rsid w:val="00137407"/>
    <w:rsid w:val="00141905"/>
    <w:rsid w:val="001419A4"/>
    <w:rsid w:val="00142664"/>
    <w:rsid w:val="0014352B"/>
    <w:rsid w:val="0014491B"/>
    <w:rsid w:val="00144BED"/>
    <w:rsid w:val="001464A7"/>
    <w:rsid w:val="001473ED"/>
    <w:rsid w:val="001502FA"/>
    <w:rsid w:val="001505A6"/>
    <w:rsid w:val="00150852"/>
    <w:rsid w:val="001508F7"/>
    <w:rsid w:val="00150F7A"/>
    <w:rsid w:val="001511EC"/>
    <w:rsid w:val="001526F3"/>
    <w:rsid w:val="001529CB"/>
    <w:rsid w:val="00153326"/>
    <w:rsid w:val="001536EB"/>
    <w:rsid w:val="00153C39"/>
    <w:rsid w:val="00154483"/>
    <w:rsid w:val="001549BF"/>
    <w:rsid w:val="00155F50"/>
    <w:rsid w:val="00156BAC"/>
    <w:rsid w:val="00157E35"/>
    <w:rsid w:val="00160ED5"/>
    <w:rsid w:val="0016165E"/>
    <w:rsid w:val="00162204"/>
    <w:rsid w:val="001625F9"/>
    <w:rsid w:val="001633AE"/>
    <w:rsid w:val="00163C6F"/>
    <w:rsid w:val="0016581F"/>
    <w:rsid w:val="00166940"/>
    <w:rsid w:val="00170605"/>
    <w:rsid w:val="001706E7"/>
    <w:rsid w:val="0017097C"/>
    <w:rsid w:val="00171CA1"/>
    <w:rsid w:val="00172190"/>
    <w:rsid w:val="001728E3"/>
    <w:rsid w:val="00172C77"/>
    <w:rsid w:val="00172D78"/>
    <w:rsid w:val="0017383B"/>
    <w:rsid w:val="0017406A"/>
    <w:rsid w:val="001740C1"/>
    <w:rsid w:val="00174AD2"/>
    <w:rsid w:val="0017604F"/>
    <w:rsid w:val="0017725E"/>
    <w:rsid w:val="00182119"/>
    <w:rsid w:val="001827BF"/>
    <w:rsid w:val="00183765"/>
    <w:rsid w:val="001852F4"/>
    <w:rsid w:val="001860ED"/>
    <w:rsid w:val="00187B7E"/>
    <w:rsid w:val="0019249A"/>
    <w:rsid w:val="00192FB3"/>
    <w:rsid w:val="001937CA"/>
    <w:rsid w:val="0019462F"/>
    <w:rsid w:val="001954E1"/>
    <w:rsid w:val="001969FD"/>
    <w:rsid w:val="0019733C"/>
    <w:rsid w:val="001A095B"/>
    <w:rsid w:val="001A0E70"/>
    <w:rsid w:val="001A266D"/>
    <w:rsid w:val="001A3FCA"/>
    <w:rsid w:val="001A404C"/>
    <w:rsid w:val="001A4957"/>
    <w:rsid w:val="001A669D"/>
    <w:rsid w:val="001A6F02"/>
    <w:rsid w:val="001A79E4"/>
    <w:rsid w:val="001B005D"/>
    <w:rsid w:val="001B25E5"/>
    <w:rsid w:val="001B2647"/>
    <w:rsid w:val="001B4901"/>
    <w:rsid w:val="001B7E43"/>
    <w:rsid w:val="001C0459"/>
    <w:rsid w:val="001C0763"/>
    <w:rsid w:val="001C17B5"/>
    <w:rsid w:val="001C3EC3"/>
    <w:rsid w:val="001C491F"/>
    <w:rsid w:val="001C5768"/>
    <w:rsid w:val="001C5FC3"/>
    <w:rsid w:val="001C69B9"/>
    <w:rsid w:val="001C7696"/>
    <w:rsid w:val="001C7746"/>
    <w:rsid w:val="001D0DCD"/>
    <w:rsid w:val="001D1111"/>
    <w:rsid w:val="001D28FF"/>
    <w:rsid w:val="001D2D2A"/>
    <w:rsid w:val="001D4AE0"/>
    <w:rsid w:val="001D7DC9"/>
    <w:rsid w:val="001E0AB7"/>
    <w:rsid w:val="001E1E7E"/>
    <w:rsid w:val="001E300B"/>
    <w:rsid w:val="001E3306"/>
    <w:rsid w:val="001E3DB6"/>
    <w:rsid w:val="001E6065"/>
    <w:rsid w:val="001E7813"/>
    <w:rsid w:val="001F233F"/>
    <w:rsid w:val="001F3670"/>
    <w:rsid w:val="001F43FA"/>
    <w:rsid w:val="001F76C2"/>
    <w:rsid w:val="001F7DF0"/>
    <w:rsid w:val="00200A52"/>
    <w:rsid w:val="00202274"/>
    <w:rsid w:val="00202A72"/>
    <w:rsid w:val="00203463"/>
    <w:rsid w:val="00205CA6"/>
    <w:rsid w:val="0020657C"/>
    <w:rsid w:val="00206B67"/>
    <w:rsid w:val="00210202"/>
    <w:rsid w:val="00211D53"/>
    <w:rsid w:val="00212053"/>
    <w:rsid w:val="00212182"/>
    <w:rsid w:val="00212386"/>
    <w:rsid w:val="00212F46"/>
    <w:rsid w:val="00213C91"/>
    <w:rsid w:val="00213E78"/>
    <w:rsid w:val="0021400B"/>
    <w:rsid w:val="00216239"/>
    <w:rsid w:val="00216255"/>
    <w:rsid w:val="002204E8"/>
    <w:rsid w:val="002205AE"/>
    <w:rsid w:val="00220703"/>
    <w:rsid w:val="002213C1"/>
    <w:rsid w:val="00222982"/>
    <w:rsid w:val="00222B78"/>
    <w:rsid w:val="00223261"/>
    <w:rsid w:val="00223FB1"/>
    <w:rsid w:val="0022624C"/>
    <w:rsid w:val="00226688"/>
    <w:rsid w:val="00230E37"/>
    <w:rsid w:val="002323E1"/>
    <w:rsid w:val="00236CF8"/>
    <w:rsid w:val="0023712E"/>
    <w:rsid w:val="002404F2"/>
    <w:rsid w:val="002427E2"/>
    <w:rsid w:val="00242E84"/>
    <w:rsid w:val="0024367E"/>
    <w:rsid w:val="00243DCC"/>
    <w:rsid w:val="0024428F"/>
    <w:rsid w:val="00244889"/>
    <w:rsid w:val="002503D6"/>
    <w:rsid w:val="002512E0"/>
    <w:rsid w:val="002520F4"/>
    <w:rsid w:val="002526BD"/>
    <w:rsid w:val="00253161"/>
    <w:rsid w:val="00253659"/>
    <w:rsid w:val="00254680"/>
    <w:rsid w:val="00254AE5"/>
    <w:rsid w:val="00256576"/>
    <w:rsid w:val="00256711"/>
    <w:rsid w:val="0025680E"/>
    <w:rsid w:val="00261855"/>
    <w:rsid w:val="00261D51"/>
    <w:rsid w:val="00261E5C"/>
    <w:rsid w:val="00262059"/>
    <w:rsid w:val="002625D6"/>
    <w:rsid w:val="00262C95"/>
    <w:rsid w:val="00263AC7"/>
    <w:rsid w:val="002646AF"/>
    <w:rsid w:val="00265C31"/>
    <w:rsid w:val="00265E65"/>
    <w:rsid w:val="00266353"/>
    <w:rsid w:val="002668DB"/>
    <w:rsid w:val="00267429"/>
    <w:rsid w:val="002701CA"/>
    <w:rsid w:val="00270740"/>
    <w:rsid w:val="00271020"/>
    <w:rsid w:val="002724B1"/>
    <w:rsid w:val="00275010"/>
    <w:rsid w:val="0027522F"/>
    <w:rsid w:val="00275BCB"/>
    <w:rsid w:val="00277A81"/>
    <w:rsid w:val="002802D1"/>
    <w:rsid w:val="00280D90"/>
    <w:rsid w:val="0028162E"/>
    <w:rsid w:val="00281699"/>
    <w:rsid w:val="00283632"/>
    <w:rsid w:val="002839D9"/>
    <w:rsid w:val="00285843"/>
    <w:rsid w:val="0028674F"/>
    <w:rsid w:val="00286FE0"/>
    <w:rsid w:val="00290A28"/>
    <w:rsid w:val="00290A42"/>
    <w:rsid w:val="00290A45"/>
    <w:rsid w:val="002918D7"/>
    <w:rsid w:val="00291944"/>
    <w:rsid w:val="00292B7D"/>
    <w:rsid w:val="00295B6A"/>
    <w:rsid w:val="00296412"/>
    <w:rsid w:val="002A0C75"/>
    <w:rsid w:val="002A0C90"/>
    <w:rsid w:val="002A0D1B"/>
    <w:rsid w:val="002A1FEA"/>
    <w:rsid w:val="002A2134"/>
    <w:rsid w:val="002A3AC4"/>
    <w:rsid w:val="002A3BEF"/>
    <w:rsid w:val="002A3CC4"/>
    <w:rsid w:val="002A4327"/>
    <w:rsid w:val="002A4B0B"/>
    <w:rsid w:val="002A519A"/>
    <w:rsid w:val="002A64AB"/>
    <w:rsid w:val="002A765E"/>
    <w:rsid w:val="002A7C18"/>
    <w:rsid w:val="002B055C"/>
    <w:rsid w:val="002B15AD"/>
    <w:rsid w:val="002B1DE9"/>
    <w:rsid w:val="002B2550"/>
    <w:rsid w:val="002B277B"/>
    <w:rsid w:val="002B29BA"/>
    <w:rsid w:val="002B4BDF"/>
    <w:rsid w:val="002B61A9"/>
    <w:rsid w:val="002B6208"/>
    <w:rsid w:val="002C03AD"/>
    <w:rsid w:val="002C06D9"/>
    <w:rsid w:val="002C0D5E"/>
    <w:rsid w:val="002C174C"/>
    <w:rsid w:val="002C2304"/>
    <w:rsid w:val="002C3D83"/>
    <w:rsid w:val="002C524D"/>
    <w:rsid w:val="002C575A"/>
    <w:rsid w:val="002C6CA2"/>
    <w:rsid w:val="002C6E12"/>
    <w:rsid w:val="002D13AA"/>
    <w:rsid w:val="002D1FEC"/>
    <w:rsid w:val="002D26E0"/>
    <w:rsid w:val="002D2E5C"/>
    <w:rsid w:val="002D447D"/>
    <w:rsid w:val="002D4A30"/>
    <w:rsid w:val="002D5054"/>
    <w:rsid w:val="002D5993"/>
    <w:rsid w:val="002D6A9B"/>
    <w:rsid w:val="002E117A"/>
    <w:rsid w:val="002E23E8"/>
    <w:rsid w:val="002E3EFE"/>
    <w:rsid w:val="002E4461"/>
    <w:rsid w:val="002E4FB9"/>
    <w:rsid w:val="002E5439"/>
    <w:rsid w:val="002E60FD"/>
    <w:rsid w:val="002E7AC8"/>
    <w:rsid w:val="002F03B0"/>
    <w:rsid w:val="002F052C"/>
    <w:rsid w:val="002F118A"/>
    <w:rsid w:val="002F4AC3"/>
    <w:rsid w:val="002F4DDA"/>
    <w:rsid w:val="002F5103"/>
    <w:rsid w:val="002F5298"/>
    <w:rsid w:val="002F5EF5"/>
    <w:rsid w:val="002F6813"/>
    <w:rsid w:val="0030045D"/>
    <w:rsid w:val="00301446"/>
    <w:rsid w:val="00301871"/>
    <w:rsid w:val="00301D40"/>
    <w:rsid w:val="00302199"/>
    <w:rsid w:val="00303BEF"/>
    <w:rsid w:val="00303E01"/>
    <w:rsid w:val="00305821"/>
    <w:rsid w:val="0030615E"/>
    <w:rsid w:val="0030676D"/>
    <w:rsid w:val="00306AD6"/>
    <w:rsid w:val="00307FB1"/>
    <w:rsid w:val="00310E08"/>
    <w:rsid w:val="003113F5"/>
    <w:rsid w:val="003119E9"/>
    <w:rsid w:val="00312BAC"/>
    <w:rsid w:val="00312CBE"/>
    <w:rsid w:val="0031449B"/>
    <w:rsid w:val="003153E2"/>
    <w:rsid w:val="00315534"/>
    <w:rsid w:val="003157AC"/>
    <w:rsid w:val="00315B20"/>
    <w:rsid w:val="00316960"/>
    <w:rsid w:val="00317B5B"/>
    <w:rsid w:val="00317DFC"/>
    <w:rsid w:val="00320F57"/>
    <w:rsid w:val="00321439"/>
    <w:rsid w:val="00321FDC"/>
    <w:rsid w:val="0032211B"/>
    <w:rsid w:val="0032244B"/>
    <w:rsid w:val="003227DF"/>
    <w:rsid w:val="00322F9A"/>
    <w:rsid w:val="00323B3C"/>
    <w:rsid w:val="00326CC5"/>
    <w:rsid w:val="00330E62"/>
    <w:rsid w:val="00331440"/>
    <w:rsid w:val="00331668"/>
    <w:rsid w:val="003328B3"/>
    <w:rsid w:val="003328DE"/>
    <w:rsid w:val="00332A7B"/>
    <w:rsid w:val="003338DD"/>
    <w:rsid w:val="00335AC6"/>
    <w:rsid w:val="00340209"/>
    <w:rsid w:val="00340EFC"/>
    <w:rsid w:val="00341204"/>
    <w:rsid w:val="003416BC"/>
    <w:rsid w:val="0034474E"/>
    <w:rsid w:val="00344B48"/>
    <w:rsid w:val="003454DF"/>
    <w:rsid w:val="003456D3"/>
    <w:rsid w:val="00345C9C"/>
    <w:rsid w:val="00345F41"/>
    <w:rsid w:val="003470B2"/>
    <w:rsid w:val="00347723"/>
    <w:rsid w:val="00350638"/>
    <w:rsid w:val="00350B44"/>
    <w:rsid w:val="00350D9E"/>
    <w:rsid w:val="00350FB5"/>
    <w:rsid w:val="0035132A"/>
    <w:rsid w:val="00351432"/>
    <w:rsid w:val="00351D5B"/>
    <w:rsid w:val="003520E0"/>
    <w:rsid w:val="003525BC"/>
    <w:rsid w:val="00352640"/>
    <w:rsid w:val="0035276F"/>
    <w:rsid w:val="00354927"/>
    <w:rsid w:val="00354FD2"/>
    <w:rsid w:val="0035699A"/>
    <w:rsid w:val="00360F72"/>
    <w:rsid w:val="00362512"/>
    <w:rsid w:val="00364D82"/>
    <w:rsid w:val="0036585D"/>
    <w:rsid w:val="003658C0"/>
    <w:rsid w:val="0036662E"/>
    <w:rsid w:val="0036687F"/>
    <w:rsid w:val="00366BA8"/>
    <w:rsid w:val="00367974"/>
    <w:rsid w:val="00367C48"/>
    <w:rsid w:val="00370B8A"/>
    <w:rsid w:val="00370CA4"/>
    <w:rsid w:val="003711E9"/>
    <w:rsid w:val="00371380"/>
    <w:rsid w:val="00371F63"/>
    <w:rsid w:val="00373032"/>
    <w:rsid w:val="00373498"/>
    <w:rsid w:val="00373B4D"/>
    <w:rsid w:val="00374A6C"/>
    <w:rsid w:val="00374BAF"/>
    <w:rsid w:val="00375328"/>
    <w:rsid w:val="0037539D"/>
    <w:rsid w:val="00376403"/>
    <w:rsid w:val="0037680A"/>
    <w:rsid w:val="003777EB"/>
    <w:rsid w:val="0038035E"/>
    <w:rsid w:val="003803C2"/>
    <w:rsid w:val="003806D9"/>
    <w:rsid w:val="00380EAA"/>
    <w:rsid w:val="00381518"/>
    <w:rsid w:val="00382286"/>
    <w:rsid w:val="00383E44"/>
    <w:rsid w:val="00383FCF"/>
    <w:rsid w:val="00385286"/>
    <w:rsid w:val="00386245"/>
    <w:rsid w:val="00390FF6"/>
    <w:rsid w:val="003924CC"/>
    <w:rsid w:val="0039252F"/>
    <w:rsid w:val="00392671"/>
    <w:rsid w:val="00394234"/>
    <w:rsid w:val="00395ABF"/>
    <w:rsid w:val="00395DD3"/>
    <w:rsid w:val="0039684B"/>
    <w:rsid w:val="003975B3"/>
    <w:rsid w:val="00397861"/>
    <w:rsid w:val="00397E51"/>
    <w:rsid w:val="00397E98"/>
    <w:rsid w:val="00397EB9"/>
    <w:rsid w:val="003A318D"/>
    <w:rsid w:val="003A5507"/>
    <w:rsid w:val="003A7AD2"/>
    <w:rsid w:val="003A7E5F"/>
    <w:rsid w:val="003B00C8"/>
    <w:rsid w:val="003B06A2"/>
    <w:rsid w:val="003B15BE"/>
    <w:rsid w:val="003B3691"/>
    <w:rsid w:val="003B54D4"/>
    <w:rsid w:val="003B5992"/>
    <w:rsid w:val="003B613C"/>
    <w:rsid w:val="003B6954"/>
    <w:rsid w:val="003B69EA"/>
    <w:rsid w:val="003B6C14"/>
    <w:rsid w:val="003C01BC"/>
    <w:rsid w:val="003C0690"/>
    <w:rsid w:val="003C0858"/>
    <w:rsid w:val="003C1B5E"/>
    <w:rsid w:val="003C2441"/>
    <w:rsid w:val="003C25F5"/>
    <w:rsid w:val="003C4092"/>
    <w:rsid w:val="003C781A"/>
    <w:rsid w:val="003C7B4F"/>
    <w:rsid w:val="003D01B1"/>
    <w:rsid w:val="003D0E6D"/>
    <w:rsid w:val="003D15AF"/>
    <w:rsid w:val="003D1804"/>
    <w:rsid w:val="003D1D02"/>
    <w:rsid w:val="003D3397"/>
    <w:rsid w:val="003D3E33"/>
    <w:rsid w:val="003D41C9"/>
    <w:rsid w:val="003D5555"/>
    <w:rsid w:val="003D5E77"/>
    <w:rsid w:val="003E005E"/>
    <w:rsid w:val="003E15EA"/>
    <w:rsid w:val="003E21F4"/>
    <w:rsid w:val="003E2B5F"/>
    <w:rsid w:val="003E44B1"/>
    <w:rsid w:val="003E4B21"/>
    <w:rsid w:val="003E5629"/>
    <w:rsid w:val="003E5ED3"/>
    <w:rsid w:val="003E7179"/>
    <w:rsid w:val="003E71F0"/>
    <w:rsid w:val="003E75F4"/>
    <w:rsid w:val="003E7D6F"/>
    <w:rsid w:val="003F0052"/>
    <w:rsid w:val="003F10DD"/>
    <w:rsid w:val="003F17BD"/>
    <w:rsid w:val="003F1ADF"/>
    <w:rsid w:val="003F27BA"/>
    <w:rsid w:val="003F298F"/>
    <w:rsid w:val="003F2A48"/>
    <w:rsid w:val="003F3E49"/>
    <w:rsid w:val="003F4791"/>
    <w:rsid w:val="003F5EF8"/>
    <w:rsid w:val="003F6570"/>
    <w:rsid w:val="00400645"/>
    <w:rsid w:val="0040072C"/>
    <w:rsid w:val="004012F1"/>
    <w:rsid w:val="00402E6C"/>
    <w:rsid w:val="0040615E"/>
    <w:rsid w:val="00406842"/>
    <w:rsid w:val="00407677"/>
    <w:rsid w:val="0041081C"/>
    <w:rsid w:val="00411708"/>
    <w:rsid w:val="00411F24"/>
    <w:rsid w:val="00415946"/>
    <w:rsid w:val="00417CB9"/>
    <w:rsid w:val="00417D45"/>
    <w:rsid w:val="004216F4"/>
    <w:rsid w:val="00421B8C"/>
    <w:rsid w:val="00421E97"/>
    <w:rsid w:val="004231C7"/>
    <w:rsid w:val="00424070"/>
    <w:rsid w:val="004243AC"/>
    <w:rsid w:val="004243E0"/>
    <w:rsid w:val="00425422"/>
    <w:rsid w:val="00425A4C"/>
    <w:rsid w:val="0042793E"/>
    <w:rsid w:val="00427A08"/>
    <w:rsid w:val="00427F12"/>
    <w:rsid w:val="004322FC"/>
    <w:rsid w:val="00432F50"/>
    <w:rsid w:val="00434982"/>
    <w:rsid w:val="0043526F"/>
    <w:rsid w:val="00436A7C"/>
    <w:rsid w:val="0043787E"/>
    <w:rsid w:val="00442267"/>
    <w:rsid w:val="0044427A"/>
    <w:rsid w:val="0044630A"/>
    <w:rsid w:val="00447F17"/>
    <w:rsid w:val="004504C2"/>
    <w:rsid w:val="00450D84"/>
    <w:rsid w:val="0045281D"/>
    <w:rsid w:val="00452DDF"/>
    <w:rsid w:val="00453102"/>
    <w:rsid w:val="00453797"/>
    <w:rsid w:val="0045422F"/>
    <w:rsid w:val="00454A8B"/>
    <w:rsid w:val="0045716C"/>
    <w:rsid w:val="004605DC"/>
    <w:rsid w:val="00461822"/>
    <w:rsid w:val="00462125"/>
    <w:rsid w:val="00462C83"/>
    <w:rsid w:val="00463372"/>
    <w:rsid w:val="00463A10"/>
    <w:rsid w:val="004650C3"/>
    <w:rsid w:val="00466F46"/>
    <w:rsid w:val="00467662"/>
    <w:rsid w:val="004714F0"/>
    <w:rsid w:val="00471D37"/>
    <w:rsid w:val="00472669"/>
    <w:rsid w:val="00473209"/>
    <w:rsid w:val="004735DB"/>
    <w:rsid w:val="0047377D"/>
    <w:rsid w:val="00474926"/>
    <w:rsid w:val="00475833"/>
    <w:rsid w:val="00475CED"/>
    <w:rsid w:val="00476C4B"/>
    <w:rsid w:val="0048080B"/>
    <w:rsid w:val="00482FCF"/>
    <w:rsid w:val="0048367A"/>
    <w:rsid w:val="00483F15"/>
    <w:rsid w:val="004845EA"/>
    <w:rsid w:val="00485173"/>
    <w:rsid w:val="00485447"/>
    <w:rsid w:val="0048566C"/>
    <w:rsid w:val="004862BC"/>
    <w:rsid w:val="0048667B"/>
    <w:rsid w:val="0048675B"/>
    <w:rsid w:val="00486C24"/>
    <w:rsid w:val="0049033A"/>
    <w:rsid w:val="00490643"/>
    <w:rsid w:val="00492A34"/>
    <w:rsid w:val="00492C9C"/>
    <w:rsid w:val="00492F33"/>
    <w:rsid w:val="00493738"/>
    <w:rsid w:val="004950BC"/>
    <w:rsid w:val="00495203"/>
    <w:rsid w:val="00496C59"/>
    <w:rsid w:val="0049772A"/>
    <w:rsid w:val="004A0656"/>
    <w:rsid w:val="004A128C"/>
    <w:rsid w:val="004A2689"/>
    <w:rsid w:val="004A2A9B"/>
    <w:rsid w:val="004A2B06"/>
    <w:rsid w:val="004A2FEC"/>
    <w:rsid w:val="004A516D"/>
    <w:rsid w:val="004A72F2"/>
    <w:rsid w:val="004B06A8"/>
    <w:rsid w:val="004B177E"/>
    <w:rsid w:val="004B27F7"/>
    <w:rsid w:val="004B2D1F"/>
    <w:rsid w:val="004B3251"/>
    <w:rsid w:val="004B3DEC"/>
    <w:rsid w:val="004B3E3B"/>
    <w:rsid w:val="004B411A"/>
    <w:rsid w:val="004B49F4"/>
    <w:rsid w:val="004B519A"/>
    <w:rsid w:val="004B59B9"/>
    <w:rsid w:val="004B61C1"/>
    <w:rsid w:val="004C0AAA"/>
    <w:rsid w:val="004C0C64"/>
    <w:rsid w:val="004C0D06"/>
    <w:rsid w:val="004C1C04"/>
    <w:rsid w:val="004C3182"/>
    <w:rsid w:val="004C55F6"/>
    <w:rsid w:val="004C7D32"/>
    <w:rsid w:val="004D00C4"/>
    <w:rsid w:val="004D1BF3"/>
    <w:rsid w:val="004D41BA"/>
    <w:rsid w:val="004D43EC"/>
    <w:rsid w:val="004D4D2E"/>
    <w:rsid w:val="004D4EEA"/>
    <w:rsid w:val="004D5322"/>
    <w:rsid w:val="004D6023"/>
    <w:rsid w:val="004D6699"/>
    <w:rsid w:val="004D6F5A"/>
    <w:rsid w:val="004D7A36"/>
    <w:rsid w:val="004E1268"/>
    <w:rsid w:val="004E265E"/>
    <w:rsid w:val="004E2E08"/>
    <w:rsid w:val="004E2E99"/>
    <w:rsid w:val="004E3297"/>
    <w:rsid w:val="004E38A8"/>
    <w:rsid w:val="004E4BEC"/>
    <w:rsid w:val="004E6139"/>
    <w:rsid w:val="004E630E"/>
    <w:rsid w:val="004E682D"/>
    <w:rsid w:val="004E6C4C"/>
    <w:rsid w:val="004E6E2C"/>
    <w:rsid w:val="004E7619"/>
    <w:rsid w:val="004F14D7"/>
    <w:rsid w:val="004F16E9"/>
    <w:rsid w:val="004F2416"/>
    <w:rsid w:val="004F45F2"/>
    <w:rsid w:val="004F47AB"/>
    <w:rsid w:val="004F499A"/>
    <w:rsid w:val="00500052"/>
    <w:rsid w:val="005008DB"/>
    <w:rsid w:val="0050171D"/>
    <w:rsid w:val="00506564"/>
    <w:rsid w:val="0050734A"/>
    <w:rsid w:val="005107BB"/>
    <w:rsid w:val="00510987"/>
    <w:rsid w:val="00512E75"/>
    <w:rsid w:val="0051450C"/>
    <w:rsid w:val="00516B9A"/>
    <w:rsid w:val="00517058"/>
    <w:rsid w:val="00520C9F"/>
    <w:rsid w:val="00521199"/>
    <w:rsid w:val="005227F2"/>
    <w:rsid w:val="00522BD4"/>
    <w:rsid w:val="005241A0"/>
    <w:rsid w:val="005241F9"/>
    <w:rsid w:val="00524849"/>
    <w:rsid w:val="00525794"/>
    <w:rsid w:val="005300A0"/>
    <w:rsid w:val="0053113C"/>
    <w:rsid w:val="00532549"/>
    <w:rsid w:val="00532C5A"/>
    <w:rsid w:val="00532C5C"/>
    <w:rsid w:val="00533098"/>
    <w:rsid w:val="00533640"/>
    <w:rsid w:val="005336F3"/>
    <w:rsid w:val="00533B71"/>
    <w:rsid w:val="00534726"/>
    <w:rsid w:val="005347D8"/>
    <w:rsid w:val="00534AA3"/>
    <w:rsid w:val="005351D0"/>
    <w:rsid w:val="00535DD4"/>
    <w:rsid w:val="005367CA"/>
    <w:rsid w:val="00536F48"/>
    <w:rsid w:val="00540653"/>
    <w:rsid w:val="00542655"/>
    <w:rsid w:val="00544CF4"/>
    <w:rsid w:val="00544F7B"/>
    <w:rsid w:val="005456B7"/>
    <w:rsid w:val="00545A69"/>
    <w:rsid w:val="00546402"/>
    <w:rsid w:val="005467BE"/>
    <w:rsid w:val="0055077F"/>
    <w:rsid w:val="00550AE9"/>
    <w:rsid w:val="00550B48"/>
    <w:rsid w:val="005511AF"/>
    <w:rsid w:val="00551AD8"/>
    <w:rsid w:val="00552264"/>
    <w:rsid w:val="005532AF"/>
    <w:rsid w:val="005543EA"/>
    <w:rsid w:val="00560940"/>
    <w:rsid w:val="00561219"/>
    <w:rsid w:val="005614E2"/>
    <w:rsid w:val="00561A63"/>
    <w:rsid w:val="00561E8A"/>
    <w:rsid w:val="0056512A"/>
    <w:rsid w:val="00565E9C"/>
    <w:rsid w:val="00566F16"/>
    <w:rsid w:val="00567B59"/>
    <w:rsid w:val="005709AB"/>
    <w:rsid w:val="00570EE6"/>
    <w:rsid w:val="00571175"/>
    <w:rsid w:val="0057263A"/>
    <w:rsid w:val="0057392B"/>
    <w:rsid w:val="00574805"/>
    <w:rsid w:val="00574E72"/>
    <w:rsid w:val="00576931"/>
    <w:rsid w:val="00576A62"/>
    <w:rsid w:val="00576B64"/>
    <w:rsid w:val="00576EF2"/>
    <w:rsid w:val="00582803"/>
    <w:rsid w:val="00583B9D"/>
    <w:rsid w:val="005841F0"/>
    <w:rsid w:val="00585B57"/>
    <w:rsid w:val="00586868"/>
    <w:rsid w:val="005879CB"/>
    <w:rsid w:val="005939FE"/>
    <w:rsid w:val="00595EF8"/>
    <w:rsid w:val="00596416"/>
    <w:rsid w:val="005972B7"/>
    <w:rsid w:val="00597402"/>
    <w:rsid w:val="00597A2D"/>
    <w:rsid w:val="00597B28"/>
    <w:rsid w:val="005A0140"/>
    <w:rsid w:val="005A22ED"/>
    <w:rsid w:val="005A4EBA"/>
    <w:rsid w:val="005A4F49"/>
    <w:rsid w:val="005A4FAC"/>
    <w:rsid w:val="005A77BD"/>
    <w:rsid w:val="005B1110"/>
    <w:rsid w:val="005B169B"/>
    <w:rsid w:val="005B3176"/>
    <w:rsid w:val="005B3495"/>
    <w:rsid w:val="005B5C19"/>
    <w:rsid w:val="005B60F5"/>
    <w:rsid w:val="005B707B"/>
    <w:rsid w:val="005B7492"/>
    <w:rsid w:val="005C0613"/>
    <w:rsid w:val="005C1970"/>
    <w:rsid w:val="005C22F6"/>
    <w:rsid w:val="005C2623"/>
    <w:rsid w:val="005C2A12"/>
    <w:rsid w:val="005C6EBA"/>
    <w:rsid w:val="005D0F52"/>
    <w:rsid w:val="005D1264"/>
    <w:rsid w:val="005D1608"/>
    <w:rsid w:val="005D3695"/>
    <w:rsid w:val="005D437E"/>
    <w:rsid w:val="005D5217"/>
    <w:rsid w:val="005E0564"/>
    <w:rsid w:val="005E1BFA"/>
    <w:rsid w:val="005E2512"/>
    <w:rsid w:val="005E275B"/>
    <w:rsid w:val="005E27A1"/>
    <w:rsid w:val="005E4029"/>
    <w:rsid w:val="005E4AC9"/>
    <w:rsid w:val="005E72A4"/>
    <w:rsid w:val="005E7488"/>
    <w:rsid w:val="005E794C"/>
    <w:rsid w:val="005F02DB"/>
    <w:rsid w:val="005F09A8"/>
    <w:rsid w:val="005F0A68"/>
    <w:rsid w:val="005F1717"/>
    <w:rsid w:val="005F32D5"/>
    <w:rsid w:val="005F3A87"/>
    <w:rsid w:val="005F5194"/>
    <w:rsid w:val="005F6508"/>
    <w:rsid w:val="005F674F"/>
    <w:rsid w:val="005F6B43"/>
    <w:rsid w:val="005F6B71"/>
    <w:rsid w:val="005F71B6"/>
    <w:rsid w:val="006002B0"/>
    <w:rsid w:val="00600DFE"/>
    <w:rsid w:val="00601DBF"/>
    <w:rsid w:val="00602442"/>
    <w:rsid w:val="00602A3B"/>
    <w:rsid w:val="00603FC2"/>
    <w:rsid w:val="00604023"/>
    <w:rsid w:val="00604296"/>
    <w:rsid w:val="006045E8"/>
    <w:rsid w:val="006047C9"/>
    <w:rsid w:val="006048FA"/>
    <w:rsid w:val="0061036C"/>
    <w:rsid w:val="00611542"/>
    <w:rsid w:val="00611849"/>
    <w:rsid w:val="0061305D"/>
    <w:rsid w:val="00613E7B"/>
    <w:rsid w:val="00616C74"/>
    <w:rsid w:val="006238AE"/>
    <w:rsid w:val="006248B5"/>
    <w:rsid w:val="00625266"/>
    <w:rsid w:val="0062569B"/>
    <w:rsid w:val="006302F4"/>
    <w:rsid w:val="0063050A"/>
    <w:rsid w:val="00631B60"/>
    <w:rsid w:val="0063382B"/>
    <w:rsid w:val="00635A1B"/>
    <w:rsid w:val="00637EC0"/>
    <w:rsid w:val="00640633"/>
    <w:rsid w:val="00641BBD"/>
    <w:rsid w:val="006433FC"/>
    <w:rsid w:val="00643444"/>
    <w:rsid w:val="00643537"/>
    <w:rsid w:val="00643D78"/>
    <w:rsid w:val="00644594"/>
    <w:rsid w:val="0064533F"/>
    <w:rsid w:val="00645CD7"/>
    <w:rsid w:val="00646220"/>
    <w:rsid w:val="00646AFB"/>
    <w:rsid w:val="0064728B"/>
    <w:rsid w:val="00647D97"/>
    <w:rsid w:val="0065048C"/>
    <w:rsid w:val="00653C2C"/>
    <w:rsid w:val="00654479"/>
    <w:rsid w:val="00654702"/>
    <w:rsid w:val="006569B4"/>
    <w:rsid w:val="00657AEE"/>
    <w:rsid w:val="0066106F"/>
    <w:rsid w:val="0066221C"/>
    <w:rsid w:val="00664312"/>
    <w:rsid w:val="00666DF2"/>
    <w:rsid w:val="0066713D"/>
    <w:rsid w:val="0067054B"/>
    <w:rsid w:val="00670E46"/>
    <w:rsid w:val="00671FCE"/>
    <w:rsid w:val="00676DA0"/>
    <w:rsid w:val="00676FF8"/>
    <w:rsid w:val="006803F8"/>
    <w:rsid w:val="006805C0"/>
    <w:rsid w:val="006805D1"/>
    <w:rsid w:val="00681529"/>
    <w:rsid w:val="006822A1"/>
    <w:rsid w:val="00685DCE"/>
    <w:rsid w:val="00686BB1"/>
    <w:rsid w:val="006872B2"/>
    <w:rsid w:val="00691A74"/>
    <w:rsid w:val="00692235"/>
    <w:rsid w:val="0069269A"/>
    <w:rsid w:val="00693044"/>
    <w:rsid w:val="0069338A"/>
    <w:rsid w:val="00693415"/>
    <w:rsid w:val="00693D8F"/>
    <w:rsid w:val="006944AB"/>
    <w:rsid w:val="00695B67"/>
    <w:rsid w:val="00696E7E"/>
    <w:rsid w:val="006A0797"/>
    <w:rsid w:val="006A1313"/>
    <w:rsid w:val="006A2C3C"/>
    <w:rsid w:val="006A3F62"/>
    <w:rsid w:val="006A4AEF"/>
    <w:rsid w:val="006A5932"/>
    <w:rsid w:val="006A5A8D"/>
    <w:rsid w:val="006A5B5E"/>
    <w:rsid w:val="006A5C5A"/>
    <w:rsid w:val="006A6FC4"/>
    <w:rsid w:val="006B14B3"/>
    <w:rsid w:val="006B2547"/>
    <w:rsid w:val="006B26A9"/>
    <w:rsid w:val="006B2E34"/>
    <w:rsid w:val="006B329E"/>
    <w:rsid w:val="006B4077"/>
    <w:rsid w:val="006B542A"/>
    <w:rsid w:val="006B7270"/>
    <w:rsid w:val="006C1222"/>
    <w:rsid w:val="006C1C8F"/>
    <w:rsid w:val="006C212E"/>
    <w:rsid w:val="006C50A9"/>
    <w:rsid w:val="006C5E53"/>
    <w:rsid w:val="006C705E"/>
    <w:rsid w:val="006C74ED"/>
    <w:rsid w:val="006C76C9"/>
    <w:rsid w:val="006C79CA"/>
    <w:rsid w:val="006D009A"/>
    <w:rsid w:val="006D05F3"/>
    <w:rsid w:val="006D26F8"/>
    <w:rsid w:val="006D3F5E"/>
    <w:rsid w:val="006D41FD"/>
    <w:rsid w:val="006D4B8E"/>
    <w:rsid w:val="006D5D7B"/>
    <w:rsid w:val="006D66AD"/>
    <w:rsid w:val="006D7DF4"/>
    <w:rsid w:val="006E07B1"/>
    <w:rsid w:val="006E0AAA"/>
    <w:rsid w:val="006E2709"/>
    <w:rsid w:val="006E2726"/>
    <w:rsid w:val="006E33C4"/>
    <w:rsid w:val="006E474D"/>
    <w:rsid w:val="006E53DC"/>
    <w:rsid w:val="006E5B2E"/>
    <w:rsid w:val="006E7114"/>
    <w:rsid w:val="006F0AF4"/>
    <w:rsid w:val="006F2413"/>
    <w:rsid w:val="006F64FB"/>
    <w:rsid w:val="006F6751"/>
    <w:rsid w:val="006F6AAD"/>
    <w:rsid w:val="006F6B8B"/>
    <w:rsid w:val="006F712D"/>
    <w:rsid w:val="006F7BCF"/>
    <w:rsid w:val="00700ADF"/>
    <w:rsid w:val="00700BAD"/>
    <w:rsid w:val="00701075"/>
    <w:rsid w:val="0070136D"/>
    <w:rsid w:val="00701C69"/>
    <w:rsid w:val="00704038"/>
    <w:rsid w:val="00704137"/>
    <w:rsid w:val="00705093"/>
    <w:rsid w:val="00706248"/>
    <w:rsid w:val="007065D3"/>
    <w:rsid w:val="00707193"/>
    <w:rsid w:val="00707BED"/>
    <w:rsid w:val="00707DEB"/>
    <w:rsid w:val="0071017D"/>
    <w:rsid w:val="00712E30"/>
    <w:rsid w:val="007138C3"/>
    <w:rsid w:val="00715A95"/>
    <w:rsid w:val="00717AA4"/>
    <w:rsid w:val="00717DA7"/>
    <w:rsid w:val="00720C88"/>
    <w:rsid w:val="007211A3"/>
    <w:rsid w:val="00721315"/>
    <w:rsid w:val="00722656"/>
    <w:rsid w:val="00723526"/>
    <w:rsid w:val="00724057"/>
    <w:rsid w:val="00724437"/>
    <w:rsid w:val="00724538"/>
    <w:rsid w:val="0072470A"/>
    <w:rsid w:val="00726032"/>
    <w:rsid w:val="00726F0E"/>
    <w:rsid w:val="0072754C"/>
    <w:rsid w:val="00727EB2"/>
    <w:rsid w:val="007308F4"/>
    <w:rsid w:val="0073297B"/>
    <w:rsid w:val="007330DD"/>
    <w:rsid w:val="00733726"/>
    <w:rsid w:val="00734E6F"/>
    <w:rsid w:val="0073579B"/>
    <w:rsid w:val="007362C1"/>
    <w:rsid w:val="00736673"/>
    <w:rsid w:val="00736B34"/>
    <w:rsid w:val="00736F39"/>
    <w:rsid w:val="0073704E"/>
    <w:rsid w:val="007407F9"/>
    <w:rsid w:val="007454C0"/>
    <w:rsid w:val="00745529"/>
    <w:rsid w:val="007464AC"/>
    <w:rsid w:val="007472C3"/>
    <w:rsid w:val="00747A93"/>
    <w:rsid w:val="00747B9D"/>
    <w:rsid w:val="00752025"/>
    <w:rsid w:val="00752495"/>
    <w:rsid w:val="007527AF"/>
    <w:rsid w:val="00752F30"/>
    <w:rsid w:val="00754323"/>
    <w:rsid w:val="007557A1"/>
    <w:rsid w:val="007569BE"/>
    <w:rsid w:val="0075723B"/>
    <w:rsid w:val="007607C2"/>
    <w:rsid w:val="00760D34"/>
    <w:rsid w:val="00761CA4"/>
    <w:rsid w:val="00764057"/>
    <w:rsid w:val="0076497D"/>
    <w:rsid w:val="007649CD"/>
    <w:rsid w:val="00765AE2"/>
    <w:rsid w:val="00766B22"/>
    <w:rsid w:val="007677CF"/>
    <w:rsid w:val="00770DE5"/>
    <w:rsid w:val="007726CD"/>
    <w:rsid w:val="00773F87"/>
    <w:rsid w:val="00774A82"/>
    <w:rsid w:val="00776C65"/>
    <w:rsid w:val="00776E61"/>
    <w:rsid w:val="0078020A"/>
    <w:rsid w:val="00782EB7"/>
    <w:rsid w:val="00783240"/>
    <w:rsid w:val="007836A1"/>
    <w:rsid w:val="00783BEA"/>
    <w:rsid w:val="007841A3"/>
    <w:rsid w:val="007841C2"/>
    <w:rsid w:val="00784E7E"/>
    <w:rsid w:val="00785417"/>
    <w:rsid w:val="007854C4"/>
    <w:rsid w:val="00785FB1"/>
    <w:rsid w:val="007863AC"/>
    <w:rsid w:val="00787C1B"/>
    <w:rsid w:val="00793667"/>
    <w:rsid w:val="00794946"/>
    <w:rsid w:val="00795205"/>
    <w:rsid w:val="0079602B"/>
    <w:rsid w:val="00797B40"/>
    <w:rsid w:val="007A1534"/>
    <w:rsid w:val="007A1697"/>
    <w:rsid w:val="007A1DE7"/>
    <w:rsid w:val="007A3096"/>
    <w:rsid w:val="007A3C28"/>
    <w:rsid w:val="007A42C5"/>
    <w:rsid w:val="007A5270"/>
    <w:rsid w:val="007A5DD8"/>
    <w:rsid w:val="007A5DDB"/>
    <w:rsid w:val="007A6431"/>
    <w:rsid w:val="007B0606"/>
    <w:rsid w:val="007B0DC4"/>
    <w:rsid w:val="007B27B8"/>
    <w:rsid w:val="007B29E9"/>
    <w:rsid w:val="007B3908"/>
    <w:rsid w:val="007B4079"/>
    <w:rsid w:val="007B4A16"/>
    <w:rsid w:val="007B50FD"/>
    <w:rsid w:val="007B6E18"/>
    <w:rsid w:val="007B7675"/>
    <w:rsid w:val="007B797F"/>
    <w:rsid w:val="007B7D85"/>
    <w:rsid w:val="007C0AB7"/>
    <w:rsid w:val="007C1432"/>
    <w:rsid w:val="007C230F"/>
    <w:rsid w:val="007C23B4"/>
    <w:rsid w:val="007C4343"/>
    <w:rsid w:val="007C4819"/>
    <w:rsid w:val="007C5605"/>
    <w:rsid w:val="007C679F"/>
    <w:rsid w:val="007C71C2"/>
    <w:rsid w:val="007D1BC4"/>
    <w:rsid w:val="007D258F"/>
    <w:rsid w:val="007D2B48"/>
    <w:rsid w:val="007D2FA6"/>
    <w:rsid w:val="007D3283"/>
    <w:rsid w:val="007D3CBD"/>
    <w:rsid w:val="007D4146"/>
    <w:rsid w:val="007D505E"/>
    <w:rsid w:val="007D5496"/>
    <w:rsid w:val="007D5594"/>
    <w:rsid w:val="007D6035"/>
    <w:rsid w:val="007D75D7"/>
    <w:rsid w:val="007E02CA"/>
    <w:rsid w:val="007E06D1"/>
    <w:rsid w:val="007E1689"/>
    <w:rsid w:val="007E1BA5"/>
    <w:rsid w:val="007E2A9D"/>
    <w:rsid w:val="007E2E0A"/>
    <w:rsid w:val="007E4A62"/>
    <w:rsid w:val="007E4ADD"/>
    <w:rsid w:val="007E4DAE"/>
    <w:rsid w:val="007E5D39"/>
    <w:rsid w:val="007E6531"/>
    <w:rsid w:val="007E66A4"/>
    <w:rsid w:val="007E7189"/>
    <w:rsid w:val="007F0041"/>
    <w:rsid w:val="007F0B5E"/>
    <w:rsid w:val="007F12E0"/>
    <w:rsid w:val="007F1626"/>
    <w:rsid w:val="007F1CD4"/>
    <w:rsid w:val="007F2693"/>
    <w:rsid w:val="007F352A"/>
    <w:rsid w:val="007F4AE3"/>
    <w:rsid w:val="007F5053"/>
    <w:rsid w:val="007F519B"/>
    <w:rsid w:val="007F547D"/>
    <w:rsid w:val="007F588B"/>
    <w:rsid w:val="007F609D"/>
    <w:rsid w:val="007F6A6E"/>
    <w:rsid w:val="00800574"/>
    <w:rsid w:val="008011B1"/>
    <w:rsid w:val="0080167E"/>
    <w:rsid w:val="00802EFF"/>
    <w:rsid w:val="00802F61"/>
    <w:rsid w:val="00803AB5"/>
    <w:rsid w:val="00804752"/>
    <w:rsid w:val="00805142"/>
    <w:rsid w:val="00805235"/>
    <w:rsid w:val="00806531"/>
    <w:rsid w:val="008071A5"/>
    <w:rsid w:val="008072E1"/>
    <w:rsid w:val="00807B09"/>
    <w:rsid w:val="008100B5"/>
    <w:rsid w:val="008126DF"/>
    <w:rsid w:val="00812E2D"/>
    <w:rsid w:val="00813A6A"/>
    <w:rsid w:val="00814390"/>
    <w:rsid w:val="00815670"/>
    <w:rsid w:val="00815FE6"/>
    <w:rsid w:val="00816ECF"/>
    <w:rsid w:val="008170F7"/>
    <w:rsid w:val="008214DF"/>
    <w:rsid w:val="0082186E"/>
    <w:rsid w:val="00822B31"/>
    <w:rsid w:val="00822DC5"/>
    <w:rsid w:val="00823E96"/>
    <w:rsid w:val="0082735C"/>
    <w:rsid w:val="008275F8"/>
    <w:rsid w:val="0082765E"/>
    <w:rsid w:val="00827719"/>
    <w:rsid w:val="00827C0C"/>
    <w:rsid w:val="008330A7"/>
    <w:rsid w:val="00833B31"/>
    <w:rsid w:val="008355A3"/>
    <w:rsid w:val="008363AF"/>
    <w:rsid w:val="008377DB"/>
    <w:rsid w:val="00837AB7"/>
    <w:rsid w:val="00840605"/>
    <w:rsid w:val="00840762"/>
    <w:rsid w:val="008407EE"/>
    <w:rsid w:val="008421AA"/>
    <w:rsid w:val="00844BEE"/>
    <w:rsid w:val="00846316"/>
    <w:rsid w:val="0084635B"/>
    <w:rsid w:val="008466FC"/>
    <w:rsid w:val="008476A4"/>
    <w:rsid w:val="008507FD"/>
    <w:rsid w:val="0085255D"/>
    <w:rsid w:val="00853086"/>
    <w:rsid w:val="00853591"/>
    <w:rsid w:val="00854D62"/>
    <w:rsid w:val="008602A7"/>
    <w:rsid w:val="008602AC"/>
    <w:rsid w:val="008607E3"/>
    <w:rsid w:val="00860B27"/>
    <w:rsid w:val="00860F62"/>
    <w:rsid w:val="00861384"/>
    <w:rsid w:val="00861583"/>
    <w:rsid w:val="00861B5E"/>
    <w:rsid w:val="0086411D"/>
    <w:rsid w:val="0086414F"/>
    <w:rsid w:val="00864F34"/>
    <w:rsid w:val="00867073"/>
    <w:rsid w:val="00867A1C"/>
    <w:rsid w:val="008700CF"/>
    <w:rsid w:val="008714B3"/>
    <w:rsid w:val="00872C79"/>
    <w:rsid w:val="00875941"/>
    <w:rsid w:val="00876166"/>
    <w:rsid w:val="0087785D"/>
    <w:rsid w:val="00877874"/>
    <w:rsid w:val="00881886"/>
    <w:rsid w:val="00883525"/>
    <w:rsid w:val="0088369A"/>
    <w:rsid w:val="00884AF8"/>
    <w:rsid w:val="008857A4"/>
    <w:rsid w:val="008857C9"/>
    <w:rsid w:val="0088704D"/>
    <w:rsid w:val="00887E12"/>
    <w:rsid w:val="00890596"/>
    <w:rsid w:val="008905AE"/>
    <w:rsid w:val="00892111"/>
    <w:rsid w:val="00892D3A"/>
    <w:rsid w:val="00892F58"/>
    <w:rsid w:val="008937B8"/>
    <w:rsid w:val="00894BCD"/>
    <w:rsid w:val="00895324"/>
    <w:rsid w:val="008974E1"/>
    <w:rsid w:val="008A021E"/>
    <w:rsid w:val="008A1BA5"/>
    <w:rsid w:val="008A2ECE"/>
    <w:rsid w:val="008A6326"/>
    <w:rsid w:val="008A737B"/>
    <w:rsid w:val="008B01D9"/>
    <w:rsid w:val="008B0EF7"/>
    <w:rsid w:val="008B1A08"/>
    <w:rsid w:val="008B2064"/>
    <w:rsid w:val="008B2D5F"/>
    <w:rsid w:val="008B3D01"/>
    <w:rsid w:val="008B4B60"/>
    <w:rsid w:val="008B5172"/>
    <w:rsid w:val="008B6F31"/>
    <w:rsid w:val="008C111E"/>
    <w:rsid w:val="008C1958"/>
    <w:rsid w:val="008C3068"/>
    <w:rsid w:val="008C4567"/>
    <w:rsid w:val="008C4658"/>
    <w:rsid w:val="008C6454"/>
    <w:rsid w:val="008C6A58"/>
    <w:rsid w:val="008D0937"/>
    <w:rsid w:val="008D2B45"/>
    <w:rsid w:val="008D2EAD"/>
    <w:rsid w:val="008D4255"/>
    <w:rsid w:val="008D5087"/>
    <w:rsid w:val="008D6001"/>
    <w:rsid w:val="008D668D"/>
    <w:rsid w:val="008D71BD"/>
    <w:rsid w:val="008D7503"/>
    <w:rsid w:val="008E01CD"/>
    <w:rsid w:val="008E10B2"/>
    <w:rsid w:val="008E1D81"/>
    <w:rsid w:val="008E3060"/>
    <w:rsid w:val="008E3915"/>
    <w:rsid w:val="008E4AA3"/>
    <w:rsid w:val="008E4CFA"/>
    <w:rsid w:val="008E509A"/>
    <w:rsid w:val="008E5468"/>
    <w:rsid w:val="008E6D8E"/>
    <w:rsid w:val="008E775D"/>
    <w:rsid w:val="008F0305"/>
    <w:rsid w:val="008F0F17"/>
    <w:rsid w:val="008F4069"/>
    <w:rsid w:val="008F552F"/>
    <w:rsid w:val="008F6354"/>
    <w:rsid w:val="008F7373"/>
    <w:rsid w:val="008F7E74"/>
    <w:rsid w:val="009037BD"/>
    <w:rsid w:val="00903E48"/>
    <w:rsid w:val="00904C19"/>
    <w:rsid w:val="00904CC6"/>
    <w:rsid w:val="009076C8"/>
    <w:rsid w:val="009077A5"/>
    <w:rsid w:val="00907C03"/>
    <w:rsid w:val="00910B21"/>
    <w:rsid w:val="00911E5B"/>
    <w:rsid w:val="0091229A"/>
    <w:rsid w:val="009129B0"/>
    <w:rsid w:val="00914816"/>
    <w:rsid w:val="00914EE7"/>
    <w:rsid w:val="00915F94"/>
    <w:rsid w:val="00917D3F"/>
    <w:rsid w:val="00920100"/>
    <w:rsid w:val="00920699"/>
    <w:rsid w:val="0092150D"/>
    <w:rsid w:val="009227CF"/>
    <w:rsid w:val="009233ED"/>
    <w:rsid w:val="00923ADA"/>
    <w:rsid w:val="00924CDC"/>
    <w:rsid w:val="00925AE0"/>
    <w:rsid w:val="009269A5"/>
    <w:rsid w:val="00926B1B"/>
    <w:rsid w:val="0093076E"/>
    <w:rsid w:val="0093180B"/>
    <w:rsid w:val="00931A52"/>
    <w:rsid w:val="00932250"/>
    <w:rsid w:val="00937012"/>
    <w:rsid w:val="00937021"/>
    <w:rsid w:val="009402F0"/>
    <w:rsid w:val="00941011"/>
    <w:rsid w:val="0094101B"/>
    <w:rsid w:val="009420CB"/>
    <w:rsid w:val="00943E18"/>
    <w:rsid w:val="00944D71"/>
    <w:rsid w:val="00951031"/>
    <w:rsid w:val="009516AB"/>
    <w:rsid w:val="009525C8"/>
    <w:rsid w:val="00952739"/>
    <w:rsid w:val="009529C5"/>
    <w:rsid w:val="009532E5"/>
    <w:rsid w:val="009533E4"/>
    <w:rsid w:val="00955040"/>
    <w:rsid w:val="00956B19"/>
    <w:rsid w:val="00956F35"/>
    <w:rsid w:val="00957A9F"/>
    <w:rsid w:val="00960E33"/>
    <w:rsid w:val="00961915"/>
    <w:rsid w:val="00961AA1"/>
    <w:rsid w:val="009657C4"/>
    <w:rsid w:val="00965D33"/>
    <w:rsid w:val="00970377"/>
    <w:rsid w:val="00972583"/>
    <w:rsid w:val="0097360D"/>
    <w:rsid w:val="009736A0"/>
    <w:rsid w:val="00973B40"/>
    <w:rsid w:val="00973F55"/>
    <w:rsid w:val="009746C6"/>
    <w:rsid w:val="00974BB3"/>
    <w:rsid w:val="009766CE"/>
    <w:rsid w:val="00976966"/>
    <w:rsid w:val="00976980"/>
    <w:rsid w:val="0098093E"/>
    <w:rsid w:val="0098146F"/>
    <w:rsid w:val="009829C3"/>
    <w:rsid w:val="00982AD4"/>
    <w:rsid w:val="00982F88"/>
    <w:rsid w:val="00983C32"/>
    <w:rsid w:val="00987210"/>
    <w:rsid w:val="00990213"/>
    <w:rsid w:val="00990B2B"/>
    <w:rsid w:val="009912AF"/>
    <w:rsid w:val="009913FF"/>
    <w:rsid w:val="00993B67"/>
    <w:rsid w:val="00993F73"/>
    <w:rsid w:val="00994686"/>
    <w:rsid w:val="00995DAF"/>
    <w:rsid w:val="00997C2E"/>
    <w:rsid w:val="009A0C13"/>
    <w:rsid w:val="009A23E6"/>
    <w:rsid w:val="009A3E4D"/>
    <w:rsid w:val="009A4010"/>
    <w:rsid w:val="009A6A12"/>
    <w:rsid w:val="009A7BFC"/>
    <w:rsid w:val="009B0EAC"/>
    <w:rsid w:val="009B154D"/>
    <w:rsid w:val="009B2E86"/>
    <w:rsid w:val="009B31EF"/>
    <w:rsid w:val="009B335D"/>
    <w:rsid w:val="009B4286"/>
    <w:rsid w:val="009B5F3D"/>
    <w:rsid w:val="009B6175"/>
    <w:rsid w:val="009B6FB6"/>
    <w:rsid w:val="009B7E03"/>
    <w:rsid w:val="009C1510"/>
    <w:rsid w:val="009C243B"/>
    <w:rsid w:val="009C4D5C"/>
    <w:rsid w:val="009C514B"/>
    <w:rsid w:val="009C7DF0"/>
    <w:rsid w:val="009D0497"/>
    <w:rsid w:val="009D1515"/>
    <w:rsid w:val="009D352E"/>
    <w:rsid w:val="009D461B"/>
    <w:rsid w:val="009D5399"/>
    <w:rsid w:val="009D60BB"/>
    <w:rsid w:val="009D7179"/>
    <w:rsid w:val="009D7748"/>
    <w:rsid w:val="009E1910"/>
    <w:rsid w:val="009E201D"/>
    <w:rsid w:val="009E2E87"/>
    <w:rsid w:val="009E4D44"/>
    <w:rsid w:val="009E5389"/>
    <w:rsid w:val="009E5398"/>
    <w:rsid w:val="009E57D5"/>
    <w:rsid w:val="009E6A59"/>
    <w:rsid w:val="009E71C3"/>
    <w:rsid w:val="009F18AB"/>
    <w:rsid w:val="009F292C"/>
    <w:rsid w:val="009F3F0F"/>
    <w:rsid w:val="009F489A"/>
    <w:rsid w:val="009F5A17"/>
    <w:rsid w:val="009F70C9"/>
    <w:rsid w:val="009F7F98"/>
    <w:rsid w:val="00A000A8"/>
    <w:rsid w:val="00A0114C"/>
    <w:rsid w:val="00A01151"/>
    <w:rsid w:val="00A01C1D"/>
    <w:rsid w:val="00A02FC3"/>
    <w:rsid w:val="00A031AF"/>
    <w:rsid w:val="00A0426E"/>
    <w:rsid w:val="00A06D58"/>
    <w:rsid w:val="00A075D5"/>
    <w:rsid w:val="00A07A6F"/>
    <w:rsid w:val="00A07DFA"/>
    <w:rsid w:val="00A07EF5"/>
    <w:rsid w:val="00A10007"/>
    <w:rsid w:val="00A105EA"/>
    <w:rsid w:val="00A10B79"/>
    <w:rsid w:val="00A1264D"/>
    <w:rsid w:val="00A12E58"/>
    <w:rsid w:val="00A1356C"/>
    <w:rsid w:val="00A135E2"/>
    <w:rsid w:val="00A1436A"/>
    <w:rsid w:val="00A1692B"/>
    <w:rsid w:val="00A16E22"/>
    <w:rsid w:val="00A16E5B"/>
    <w:rsid w:val="00A21238"/>
    <w:rsid w:val="00A21AD7"/>
    <w:rsid w:val="00A22BDD"/>
    <w:rsid w:val="00A22CDB"/>
    <w:rsid w:val="00A23288"/>
    <w:rsid w:val="00A24836"/>
    <w:rsid w:val="00A25022"/>
    <w:rsid w:val="00A251F4"/>
    <w:rsid w:val="00A257E9"/>
    <w:rsid w:val="00A263AB"/>
    <w:rsid w:val="00A2703B"/>
    <w:rsid w:val="00A2789E"/>
    <w:rsid w:val="00A3009A"/>
    <w:rsid w:val="00A3090A"/>
    <w:rsid w:val="00A3122B"/>
    <w:rsid w:val="00A32D37"/>
    <w:rsid w:val="00A34562"/>
    <w:rsid w:val="00A34B3B"/>
    <w:rsid w:val="00A37327"/>
    <w:rsid w:val="00A40301"/>
    <w:rsid w:val="00A4183B"/>
    <w:rsid w:val="00A430DF"/>
    <w:rsid w:val="00A43DE7"/>
    <w:rsid w:val="00A44493"/>
    <w:rsid w:val="00A448A0"/>
    <w:rsid w:val="00A51F39"/>
    <w:rsid w:val="00A559E4"/>
    <w:rsid w:val="00A56308"/>
    <w:rsid w:val="00A56C9C"/>
    <w:rsid w:val="00A5777E"/>
    <w:rsid w:val="00A61DDA"/>
    <w:rsid w:val="00A61E9A"/>
    <w:rsid w:val="00A622CB"/>
    <w:rsid w:val="00A635A6"/>
    <w:rsid w:val="00A63B5B"/>
    <w:rsid w:val="00A63D7F"/>
    <w:rsid w:val="00A6527A"/>
    <w:rsid w:val="00A65E15"/>
    <w:rsid w:val="00A66090"/>
    <w:rsid w:val="00A74BE2"/>
    <w:rsid w:val="00A74E94"/>
    <w:rsid w:val="00A750E7"/>
    <w:rsid w:val="00A77D4E"/>
    <w:rsid w:val="00A77EF1"/>
    <w:rsid w:val="00A80149"/>
    <w:rsid w:val="00A8279C"/>
    <w:rsid w:val="00A82C89"/>
    <w:rsid w:val="00A82F1D"/>
    <w:rsid w:val="00A8503A"/>
    <w:rsid w:val="00A851CE"/>
    <w:rsid w:val="00A857BA"/>
    <w:rsid w:val="00A857C3"/>
    <w:rsid w:val="00A85B32"/>
    <w:rsid w:val="00A86B2D"/>
    <w:rsid w:val="00A8733C"/>
    <w:rsid w:val="00A87386"/>
    <w:rsid w:val="00A9095B"/>
    <w:rsid w:val="00A90A5A"/>
    <w:rsid w:val="00A90C12"/>
    <w:rsid w:val="00A91195"/>
    <w:rsid w:val="00A919AB"/>
    <w:rsid w:val="00A91E5E"/>
    <w:rsid w:val="00A92169"/>
    <w:rsid w:val="00A92333"/>
    <w:rsid w:val="00A9279A"/>
    <w:rsid w:val="00A93FBA"/>
    <w:rsid w:val="00A948FA"/>
    <w:rsid w:val="00A95862"/>
    <w:rsid w:val="00A958D0"/>
    <w:rsid w:val="00A95C6C"/>
    <w:rsid w:val="00A97AE0"/>
    <w:rsid w:val="00A97C13"/>
    <w:rsid w:val="00AA13B1"/>
    <w:rsid w:val="00AA1796"/>
    <w:rsid w:val="00AA22E6"/>
    <w:rsid w:val="00AA2B78"/>
    <w:rsid w:val="00AA3F49"/>
    <w:rsid w:val="00AA4E5B"/>
    <w:rsid w:val="00AA518A"/>
    <w:rsid w:val="00AA56FA"/>
    <w:rsid w:val="00AA5712"/>
    <w:rsid w:val="00AA5F8D"/>
    <w:rsid w:val="00AA7201"/>
    <w:rsid w:val="00AA7300"/>
    <w:rsid w:val="00AB08E7"/>
    <w:rsid w:val="00AB0C08"/>
    <w:rsid w:val="00AB302D"/>
    <w:rsid w:val="00AB340F"/>
    <w:rsid w:val="00AB4060"/>
    <w:rsid w:val="00AB703F"/>
    <w:rsid w:val="00AC060B"/>
    <w:rsid w:val="00AC1070"/>
    <w:rsid w:val="00AC29EA"/>
    <w:rsid w:val="00AC2AE5"/>
    <w:rsid w:val="00AC2EC2"/>
    <w:rsid w:val="00AC6258"/>
    <w:rsid w:val="00AC7EC6"/>
    <w:rsid w:val="00AD10F8"/>
    <w:rsid w:val="00AD1335"/>
    <w:rsid w:val="00AD1AAC"/>
    <w:rsid w:val="00AD2368"/>
    <w:rsid w:val="00AD3B75"/>
    <w:rsid w:val="00AD4702"/>
    <w:rsid w:val="00AD64EF"/>
    <w:rsid w:val="00AD6B7D"/>
    <w:rsid w:val="00AD7802"/>
    <w:rsid w:val="00AD7D88"/>
    <w:rsid w:val="00AE0382"/>
    <w:rsid w:val="00AE05BC"/>
    <w:rsid w:val="00AE1464"/>
    <w:rsid w:val="00AE1629"/>
    <w:rsid w:val="00AE2C7F"/>
    <w:rsid w:val="00AE2EAA"/>
    <w:rsid w:val="00AE31B1"/>
    <w:rsid w:val="00AE4288"/>
    <w:rsid w:val="00AE4F32"/>
    <w:rsid w:val="00AE5859"/>
    <w:rsid w:val="00AE7088"/>
    <w:rsid w:val="00AF1617"/>
    <w:rsid w:val="00AF2F45"/>
    <w:rsid w:val="00AF30BC"/>
    <w:rsid w:val="00AF30FD"/>
    <w:rsid w:val="00AF36C2"/>
    <w:rsid w:val="00AF57B6"/>
    <w:rsid w:val="00AF618D"/>
    <w:rsid w:val="00AF6F88"/>
    <w:rsid w:val="00AF7F5A"/>
    <w:rsid w:val="00B0008C"/>
    <w:rsid w:val="00B02597"/>
    <w:rsid w:val="00B02624"/>
    <w:rsid w:val="00B031ED"/>
    <w:rsid w:val="00B035F5"/>
    <w:rsid w:val="00B03C3D"/>
    <w:rsid w:val="00B04C81"/>
    <w:rsid w:val="00B061F1"/>
    <w:rsid w:val="00B0735E"/>
    <w:rsid w:val="00B1091F"/>
    <w:rsid w:val="00B1232B"/>
    <w:rsid w:val="00B13E9E"/>
    <w:rsid w:val="00B16001"/>
    <w:rsid w:val="00B20625"/>
    <w:rsid w:val="00B20732"/>
    <w:rsid w:val="00B20EDD"/>
    <w:rsid w:val="00B219EC"/>
    <w:rsid w:val="00B21D16"/>
    <w:rsid w:val="00B23AA2"/>
    <w:rsid w:val="00B23B6B"/>
    <w:rsid w:val="00B23CBD"/>
    <w:rsid w:val="00B24EDF"/>
    <w:rsid w:val="00B255DA"/>
    <w:rsid w:val="00B26BDF"/>
    <w:rsid w:val="00B30F83"/>
    <w:rsid w:val="00B31592"/>
    <w:rsid w:val="00B33B9F"/>
    <w:rsid w:val="00B36214"/>
    <w:rsid w:val="00B37FE5"/>
    <w:rsid w:val="00B402EA"/>
    <w:rsid w:val="00B40474"/>
    <w:rsid w:val="00B41693"/>
    <w:rsid w:val="00B41B62"/>
    <w:rsid w:val="00B440F4"/>
    <w:rsid w:val="00B4487A"/>
    <w:rsid w:val="00B45A6F"/>
    <w:rsid w:val="00B50124"/>
    <w:rsid w:val="00B509D5"/>
    <w:rsid w:val="00B527D1"/>
    <w:rsid w:val="00B531CF"/>
    <w:rsid w:val="00B5329A"/>
    <w:rsid w:val="00B54DD5"/>
    <w:rsid w:val="00B5513A"/>
    <w:rsid w:val="00B554CA"/>
    <w:rsid w:val="00B56F42"/>
    <w:rsid w:val="00B57A6B"/>
    <w:rsid w:val="00B60DEE"/>
    <w:rsid w:val="00B61119"/>
    <w:rsid w:val="00B61B60"/>
    <w:rsid w:val="00B61D69"/>
    <w:rsid w:val="00B6219E"/>
    <w:rsid w:val="00B651EE"/>
    <w:rsid w:val="00B652DC"/>
    <w:rsid w:val="00B652EA"/>
    <w:rsid w:val="00B65ADD"/>
    <w:rsid w:val="00B66E71"/>
    <w:rsid w:val="00B67064"/>
    <w:rsid w:val="00B708E3"/>
    <w:rsid w:val="00B70F65"/>
    <w:rsid w:val="00B749F6"/>
    <w:rsid w:val="00B75E80"/>
    <w:rsid w:val="00B767DD"/>
    <w:rsid w:val="00B773D3"/>
    <w:rsid w:val="00B7762C"/>
    <w:rsid w:val="00B77757"/>
    <w:rsid w:val="00B77BF0"/>
    <w:rsid w:val="00B80ECD"/>
    <w:rsid w:val="00B81FBA"/>
    <w:rsid w:val="00B82122"/>
    <w:rsid w:val="00B83443"/>
    <w:rsid w:val="00B841F1"/>
    <w:rsid w:val="00B84B9C"/>
    <w:rsid w:val="00B87073"/>
    <w:rsid w:val="00B87C5B"/>
    <w:rsid w:val="00B903B9"/>
    <w:rsid w:val="00B92627"/>
    <w:rsid w:val="00B93CC7"/>
    <w:rsid w:val="00B949EB"/>
    <w:rsid w:val="00B94A85"/>
    <w:rsid w:val="00B95678"/>
    <w:rsid w:val="00B971E1"/>
    <w:rsid w:val="00B97925"/>
    <w:rsid w:val="00B97DEC"/>
    <w:rsid w:val="00BA17D7"/>
    <w:rsid w:val="00BA24C2"/>
    <w:rsid w:val="00BA3070"/>
    <w:rsid w:val="00BA5707"/>
    <w:rsid w:val="00BA7026"/>
    <w:rsid w:val="00BA7A11"/>
    <w:rsid w:val="00BA7B06"/>
    <w:rsid w:val="00BA7E6F"/>
    <w:rsid w:val="00BB0034"/>
    <w:rsid w:val="00BB0814"/>
    <w:rsid w:val="00BB11A4"/>
    <w:rsid w:val="00BB5741"/>
    <w:rsid w:val="00BB6E83"/>
    <w:rsid w:val="00BC1A5E"/>
    <w:rsid w:val="00BC2ABA"/>
    <w:rsid w:val="00BC31D5"/>
    <w:rsid w:val="00BC3354"/>
    <w:rsid w:val="00BC439D"/>
    <w:rsid w:val="00BC4703"/>
    <w:rsid w:val="00BC4806"/>
    <w:rsid w:val="00BC4E36"/>
    <w:rsid w:val="00BC50D4"/>
    <w:rsid w:val="00BC6CA8"/>
    <w:rsid w:val="00BC76AD"/>
    <w:rsid w:val="00BC7BE6"/>
    <w:rsid w:val="00BD3572"/>
    <w:rsid w:val="00BD3A76"/>
    <w:rsid w:val="00BD3E7F"/>
    <w:rsid w:val="00BD4318"/>
    <w:rsid w:val="00BD465A"/>
    <w:rsid w:val="00BD4D53"/>
    <w:rsid w:val="00BD4E0C"/>
    <w:rsid w:val="00BD6933"/>
    <w:rsid w:val="00BF17A3"/>
    <w:rsid w:val="00BF17E7"/>
    <w:rsid w:val="00BF1F57"/>
    <w:rsid w:val="00BF4C91"/>
    <w:rsid w:val="00BF55BA"/>
    <w:rsid w:val="00BF6FF9"/>
    <w:rsid w:val="00C00D9D"/>
    <w:rsid w:val="00C02CB2"/>
    <w:rsid w:val="00C04536"/>
    <w:rsid w:val="00C046C3"/>
    <w:rsid w:val="00C04922"/>
    <w:rsid w:val="00C05150"/>
    <w:rsid w:val="00C05366"/>
    <w:rsid w:val="00C0559D"/>
    <w:rsid w:val="00C06F5F"/>
    <w:rsid w:val="00C0751D"/>
    <w:rsid w:val="00C078EE"/>
    <w:rsid w:val="00C07A7A"/>
    <w:rsid w:val="00C101C0"/>
    <w:rsid w:val="00C1222A"/>
    <w:rsid w:val="00C12A6B"/>
    <w:rsid w:val="00C1363E"/>
    <w:rsid w:val="00C13720"/>
    <w:rsid w:val="00C1376B"/>
    <w:rsid w:val="00C1403B"/>
    <w:rsid w:val="00C146F2"/>
    <w:rsid w:val="00C14771"/>
    <w:rsid w:val="00C14A58"/>
    <w:rsid w:val="00C152B1"/>
    <w:rsid w:val="00C16C66"/>
    <w:rsid w:val="00C17421"/>
    <w:rsid w:val="00C201ED"/>
    <w:rsid w:val="00C20372"/>
    <w:rsid w:val="00C20D4B"/>
    <w:rsid w:val="00C21253"/>
    <w:rsid w:val="00C227B4"/>
    <w:rsid w:val="00C24328"/>
    <w:rsid w:val="00C244CA"/>
    <w:rsid w:val="00C247FA"/>
    <w:rsid w:val="00C252C1"/>
    <w:rsid w:val="00C2566D"/>
    <w:rsid w:val="00C25985"/>
    <w:rsid w:val="00C261A2"/>
    <w:rsid w:val="00C26344"/>
    <w:rsid w:val="00C27D34"/>
    <w:rsid w:val="00C30527"/>
    <w:rsid w:val="00C34B24"/>
    <w:rsid w:val="00C34DA0"/>
    <w:rsid w:val="00C3557D"/>
    <w:rsid w:val="00C3622B"/>
    <w:rsid w:val="00C3747E"/>
    <w:rsid w:val="00C37751"/>
    <w:rsid w:val="00C37BA6"/>
    <w:rsid w:val="00C42686"/>
    <w:rsid w:val="00C4341D"/>
    <w:rsid w:val="00C43D2A"/>
    <w:rsid w:val="00C44725"/>
    <w:rsid w:val="00C44DB0"/>
    <w:rsid w:val="00C45141"/>
    <w:rsid w:val="00C46634"/>
    <w:rsid w:val="00C47D1B"/>
    <w:rsid w:val="00C50638"/>
    <w:rsid w:val="00C50BFE"/>
    <w:rsid w:val="00C516AF"/>
    <w:rsid w:val="00C52701"/>
    <w:rsid w:val="00C52C0F"/>
    <w:rsid w:val="00C52CDE"/>
    <w:rsid w:val="00C54C69"/>
    <w:rsid w:val="00C55B0D"/>
    <w:rsid w:val="00C55F11"/>
    <w:rsid w:val="00C57489"/>
    <w:rsid w:val="00C575C4"/>
    <w:rsid w:val="00C602BB"/>
    <w:rsid w:val="00C602E5"/>
    <w:rsid w:val="00C60317"/>
    <w:rsid w:val="00C6092F"/>
    <w:rsid w:val="00C60EB2"/>
    <w:rsid w:val="00C61E66"/>
    <w:rsid w:val="00C61EF8"/>
    <w:rsid w:val="00C63137"/>
    <w:rsid w:val="00C63CE7"/>
    <w:rsid w:val="00C64B95"/>
    <w:rsid w:val="00C64F53"/>
    <w:rsid w:val="00C650DA"/>
    <w:rsid w:val="00C652FD"/>
    <w:rsid w:val="00C65CD2"/>
    <w:rsid w:val="00C664EA"/>
    <w:rsid w:val="00C70085"/>
    <w:rsid w:val="00C710DC"/>
    <w:rsid w:val="00C726CE"/>
    <w:rsid w:val="00C72E4B"/>
    <w:rsid w:val="00C72FFC"/>
    <w:rsid w:val="00C74D9F"/>
    <w:rsid w:val="00C75AD4"/>
    <w:rsid w:val="00C76066"/>
    <w:rsid w:val="00C77148"/>
    <w:rsid w:val="00C774CA"/>
    <w:rsid w:val="00C77534"/>
    <w:rsid w:val="00C779CB"/>
    <w:rsid w:val="00C8044D"/>
    <w:rsid w:val="00C8118A"/>
    <w:rsid w:val="00C817DB"/>
    <w:rsid w:val="00C8289E"/>
    <w:rsid w:val="00C82DED"/>
    <w:rsid w:val="00C83A3E"/>
    <w:rsid w:val="00C83CF2"/>
    <w:rsid w:val="00C841BF"/>
    <w:rsid w:val="00C846DA"/>
    <w:rsid w:val="00C84921"/>
    <w:rsid w:val="00C85244"/>
    <w:rsid w:val="00C867E3"/>
    <w:rsid w:val="00C868A3"/>
    <w:rsid w:val="00C90008"/>
    <w:rsid w:val="00C9008D"/>
    <w:rsid w:val="00C90643"/>
    <w:rsid w:val="00C915BB"/>
    <w:rsid w:val="00C91720"/>
    <w:rsid w:val="00C91855"/>
    <w:rsid w:val="00C93CCC"/>
    <w:rsid w:val="00C95FE2"/>
    <w:rsid w:val="00C96C10"/>
    <w:rsid w:val="00CA0FF6"/>
    <w:rsid w:val="00CA26A5"/>
    <w:rsid w:val="00CA27A9"/>
    <w:rsid w:val="00CA2DA4"/>
    <w:rsid w:val="00CA42DA"/>
    <w:rsid w:val="00CA57C0"/>
    <w:rsid w:val="00CA6680"/>
    <w:rsid w:val="00CA6F50"/>
    <w:rsid w:val="00CB1DB2"/>
    <w:rsid w:val="00CB2934"/>
    <w:rsid w:val="00CB3F97"/>
    <w:rsid w:val="00CB5181"/>
    <w:rsid w:val="00CB6206"/>
    <w:rsid w:val="00CC0CC0"/>
    <w:rsid w:val="00CC3AD8"/>
    <w:rsid w:val="00CC4FE8"/>
    <w:rsid w:val="00CC5765"/>
    <w:rsid w:val="00CC74D5"/>
    <w:rsid w:val="00CC79BC"/>
    <w:rsid w:val="00CC7C3F"/>
    <w:rsid w:val="00CD0BBE"/>
    <w:rsid w:val="00CD0F9C"/>
    <w:rsid w:val="00CD176C"/>
    <w:rsid w:val="00CD202E"/>
    <w:rsid w:val="00CD264D"/>
    <w:rsid w:val="00CD3202"/>
    <w:rsid w:val="00CD371B"/>
    <w:rsid w:val="00CD3749"/>
    <w:rsid w:val="00CD6E91"/>
    <w:rsid w:val="00CD7A07"/>
    <w:rsid w:val="00CD7D6F"/>
    <w:rsid w:val="00CE1D62"/>
    <w:rsid w:val="00CE1F91"/>
    <w:rsid w:val="00CE2435"/>
    <w:rsid w:val="00CE2501"/>
    <w:rsid w:val="00CE5EA3"/>
    <w:rsid w:val="00CE6A38"/>
    <w:rsid w:val="00CF084B"/>
    <w:rsid w:val="00CF232F"/>
    <w:rsid w:val="00CF2B8B"/>
    <w:rsid w:val="00CF461C"/>
    <w:rsid w:val="00CF5AB3"/>
    <w:rsid w:val="00CF6C6A"/>
    <w:rsid w:val="00CF73F8"/>
    <w:rsid w:val="00D001DA"/>
    <w:rsid w:val="00D026D5"/>
    <w:rsid w:val="00D03733"/>
    <w:rsid w:val="00D0383E"/>
    <w:rsid w:val="00D03E3E"/>
    <w:rsid w:val="00D046C1"/>
    <w:rsid w:val="00D05097"/>
    <w:rsid w:val="00D05A9D"/>
    <w:rsid w:val="00D062E9"/>
    <w:rsid w:val="00D064F0"/>
    <w:rsid w:val="00D07B16"/>
    <w:rsid w:val="00D07D7F"/>
    <w:rsid w:val="00D111F9"/>
    <w:rsid w:val="00D11E04"/>
    <w:rsid w:val="00D12557"/>
    <w:rsid w:val="00D12CEA"/>
    <w:rsid w:val="00D149E8"/>
    <w:rsid w:val="00D1676E"/>
    <w:rsid w:val="00D1703E"/>
    <w:rsid w:val="00D17586"/>
    <w:rsid w:val="00D20547"/>
    <w:rsid w:val="00D2139B"/>
    <w:rsid w:val="00D22084"/>
    <w:rsid w:val="00D24161"/>
    <w:rsid w:val="00D24656"/>
    <w:rsid w:val="00D247A7"/>
    <w:rsid w:val="00D263B2"/>
    <w:rsid w:val="00D30699"/>
    <w:rsid w:val="00D3153C"/>
    <w:rsid w:val="00D31897"/>
    <w:rsid w:val="00D31938"/>
    <w:rsid w:val="00D31C91"/>
    <w:rsid w:val="00D323A1"/>
    <w:rsid w:val="00D330E2"/>
    <w:rsid w:val="00D33E36"/>
    <w:rsid w:val="00D3411A"/>
    <w:rsid w:val="00D35C3B"/>
    <w:rsid w:val="00D40273"/>
    <w:rsid w:val="00D41CF3"/>
    <w:rsid w:val="00D421F7"/>
    <w:rsid w:val="00D44734"/>
    <w:rsid w:val="00D447E0"/>
    <w:rsid w:val="00D460F3"/>
    <w:rsid w:val="00D5180E"/>
    <w:rsid w:val="00D51FDD"/>
    <w:rsid w:val="00D540BB"/>
    <w:rsid w:val="00D54466"/>
    <w:rsid w:val="00D54C40"/>
    <w:rsid w:val="00D560AD"/>
    <w:rsid w:val="00D561A2"/>
    <w:rsid w:val="00D56D8D"/>
    <w:rsid w:val="00D5729A"/>
    <w:rsid w:val="00D57B3D"/>
    <w:rsid w:val="00D601E7"/>
    <w:rsid w:val="00D613B1"/>
    <w:rsid w:val="00D615BB"/>
    <w:rsid w:val="00D63E44"/>
    <w:rsid w:val="00D652F8"/>
    <w:rsid w:val="00D65F5B"/>
    <w:rsid w:val="00D7077C"/>
    <w:rsid w:val="00D72435"/>
    <w:rsid w:val="00D728DA"/>
    <w:rsid w:val="00D72903"/>
    <w:rsid w:val="00D72C10"/>
    <w:rsid w:val="00D73DF5"/>
    <w:rsid w:val="00D74527"/>
    <w:rsid w:val="00D74654"/>
    <w:rsid w:val="00D76989"/>
    <w:rsid w:val="00D81534"/>
    <w:rsid w:val="00D81993"/>
    <w:rsid w:val="00D823C6"/>
    <w:rsid w:val="00D82765"/>
    <w:rsid w:val="00D84978"/>
    <w:rsid w:val="00D84E51"/>
    <w:rsid w:val="00D8539B"/>
    <w:rsid w:val="00D8563B"/>
    <w:rsid w:val="00D85CDE"/>
    <w:rsid w:val="00D87713"/>
    <w:rsid w:val="00D877FF"/>
    <w:rsid w:val="00D87CC9"/>
    <w:rsid w:val="00D91AAE"/>
    <w:rsid w:val="00D92B6B"/>
    <w:rsid w:val="00D943A4"/>
    <w:rsid w:val="00D95C3C"/>
    <w:rsid w:val="00D9647F"/>
    <w:rsid w:val="00D9665E"/>
    <w:rsid w:val="00DA136D"/>
    <w:rsid w:val="00DA293E"/>
    <w:rsid w:val="00DA3262"/>
    <w:rsid w:val="00DA362D"/>
    <w:rsid w:val="00DA3ED1"/>
    <w:rsid w:val="00DA46A8"/>
    <w:rsid w:val="00DA5CED"/>
    <w:rsid w:val="00DA623E"/>
    <w:rsid w:val="00DA7806"/>
    <w:rsid w:val="00DB0984"/>
    <w:rsid w:val="00DB0DC6"/>
    <w:rsid w:val="00DB198D"/>
    <w:rsid w:val="00DB1ED7"/>
    <w:rsid w:val="00DB202E"/>
    <w:rsid w:val="00DB29CD"/>
    <w:rsid w:val="00DB3DA7"/>
    <w:rsid w:val="00DB40F1"/>
    <w:rsid w:val="00DB7D17"/>
    <w:rsid w:val="00DC1035"/>
    <w:rsid w:val="00DC1667"/>
    <w:rsid w:val="00DC2451"/>
    <w:rsid w:val="00DC2AC9"/>
    <w:rsid w:val="00DC3269"/>
    <w:rsid w:val="00DC3989"/>
    <w:rsid w:val="00DC424E"/>
    <w:rsid w:val="00DC4BB1"/>
    <w:rsid w:val="00DC5215"/>
    <w:rsid w:val="00DC7227"/>
    <w:rsid w:val="00DD33BA"/>
    <w:rsid w:val="00DD3E12"/>
    <w:rsid w:val="00DD4C5B"/>
    <w:rsid w:val="00DD63C7"/>
    <w:rsid w:val="00DD6A55"/>
    <w:rsid w:val="00DD6B4D"/>
    <w:rsid w:val="00DD7DE1"/>
    <w:rsid w:val="00DE1C9A"/>
    <w:rsid w:val="00DE28D1"/>
    <w:rsid w:val="00DE3AFA"/>
    <w:rsid w:val="00DE523A"/>
    <w:rsid w:val="00DE597C"/>
    <w:rsid w:val="00DE6187"/>
    <w:rsid w:val="00DE67D5"/>
    <w:rsid w:val="00DE6A8E"/>
    <w:rsid w:val="00DE6EDB"/>
    <w:rsid w:val="00DE7636"/>
    <w:rsid w:val="00DE7952"/>
    <w:rsid w:val="00DF0C10"/>
    <w:rsid w:val="00DF2820"/>
    <w:rsid w:val="00DF2D92"/>
    <w:rsid w:val="00DF3379"/>
    <w:rsid w:val="00DF34E8"/>
    <w:rsid w:val="00DF4288"/>
    <w:rsid w:val="00DF614F"/>
    <w:rsid w:val="00DF78A4"/>
    <w:rsid w:val="00E00EF4"/>
    <w:rsid w:val="00E01CE7"/>
    <w:rsid w:val="00E035EC"/>
    <w:rsid w:val="00E03DB5"/>
    <w:rsid w:val="00E040D3"/>
    <w:rsid w:val="00E05714"/>
    <w:rsid w:val="00E0595B"/>
    <w:rsid w:val="00E061B0"/>
    <w:rsid w:val="00E103C0"/>
    <w:rsid w:val="00E11218"/>
    <w:rsid w:val="00E16119"/>
    <w:rsid w:val="00E170F4"/>
    <w:rsid w:val="00E2015F"/>
    <w:rsid w:val="00E217B1"/>
    <w:rsid w:val="00E22DF7"/>
    <w:rsid w:val="00E24197"/>
    <w:rsid w:val="00E24D9D"/>
    <w:rsid w:val="00E25C85"/>
    <w:rsid w:val="00E260E7"/>
    <w:rsid w:val="00E266A7"/>
    <w:rsid w:val="00E30076"/>
    <w:rsid w:val="00E30C70"/>
    <w:rsid w:val="00E322E5"/>
    <w:rsid w:val="00E338E8"/>
    <w:rsid w:val="00E36C1D"/>
    <w:rsid w:val="00E36DA3"/>
    <w:rsid w:val="00E372F3"/>
    <w:rsid w:val="00E41681"/>
    <w:rsid w:val="00E424E4"/>
    <w:rsid w:val="00E42661"/>
    <w:rsid w:val="00E43D3E"/>
    <w:rsid w:val="00E44590"/>
    <w:rsid w:val="00E44936"/>
    <w:rsid w:val="00E44C95"/>
    <w:rsid w:val="00E44F00"/>
    <w:rsid w:val="00E45FD6"/>
    <w:rsid w:val="00E47C5B"/>
    <w:rsid w:val="00E513F9"/>
    <w:rsid w:val="00E51536"/>
    <w:rsid w:val="00E522AB"/>
    <w:rsid w:val="00E54C3E"/>
    <w:rsid w:val="00E5690D"/>
    <w:rsid w:val="00E57FA4"/>
    <w:rsid w:val="00E6085B"/>
    <w:rsid w:val="00E60FBC"/>
    <w:rsid w:val="00E6233B"/>
    <w:rsid w:val="00E70DC2"/>
    <w:rsid w:val="00E71A8F"/>
    <w:rsid w:val="00E71FDB"/>
    <w:rsid w:val="00E72695"/>
    <w:rsid w:val="00E736F3"/>
    <w:rsid w:val="00E76E86"/>
    <w:rsid w:val="00E84AEF"/>
    <w:rsid w:val="00E85AB8"/>
    <w:rsid w:val="00E86A8B"/>
    <w:rsid w:val="00E86C76"/>
    <w:rsid w:val="00E90C51"/>
    <w:rsid w:val="00E95196"/>
    <w:rsid w:val="00E964C7"/>
    <w:rsid w:val="00E965F4"/>
    <w:rsid w:val="00E970C9"/>
    <w:rsid w:val="00EA02BC"/>
    <w:rsid w:val="00EA0949"/>
    <w:rsid w:val="00EA3224"/>
    <w:rsid w:val="00EA4BF0"/>
    <w:rsid w:val="00EA4F85"/>
    <w:rsid w:val="00EA5657"/>
    <w:rsid w:val="00EA72E9"/>
    <w:rsid w:val="00EB04AE"/>
    <w:rsid w:val="00EB1091"/>
    <w:rsid w:val="00EB1537"/>
    <w:rsid w:val="00EB2F60"/>
    <w:rsid w:val="00EB544E"/>
    <w:rsid w:val="00EB60D4"/>
    <w:rsid w:val="00EB6200"/>
    <w:rsid w:val="00EB6C13"/>
    <w:rsid w:val="00EB73B0"/>
    <w:rsid w:val="00EC1E46"/>
    <w:rsid w:val="00EC2C03"/>
    <w:rsid w:val="00EC3CE7"/>
    <w:rsid w:val="00EC54AA"/>
    <w:rsid w:val="00EC54C7"/>
    <w:rsid w:val="00EC5517"/>
    <w:rsid w:val="00EC7D24"/>
    <w:rsid w:val="00EC7E92"/>
    <w:rsid w:val="00ED0BC9"/>
    <w:rsid w:val="00ED2ED0"/>
    <w:rsid w:val="00ED3936"/>
    <w:rsid w:val="00ED71B9"/>
    <w:rsid w:val="00ED71D4"/>
    <w:rsid w:val="00EE039A"/>
    <w:rsid w:val="00EE0F63"/>
    <w:rsid w:val="00EE107A"/>
    <w:rsid w:val="00EE14E7"/>
    <w:rsid w:val="00EE2C23"/>
    <w:rsid w:val="00EE350D"/>
    <w:rsid w:val="00EE44AD"/>
    <w:rsid w:val="00EE4EB4"/>
    <w:rsid w:val="00EE50D4"/>
    <w:rsid w:val="00EE67ED"/>
    <w:rsid w:val="00EE7AD0"/>
    <w:rsid w:val="00EF06BA"/>
    <w:rsid w:val="00EF18D7"/>
    <w:rsid w:val="00EF2E43"/>
    <w:rsid w:val="00EF3C2B"/>
    <w:rsid w:val="00EF5144"/>
    <w:rsid w:val="00EF7F47"/>
    <w:rsid w:val="00F019A5"/>
    <w:rsid w:val="00F0249E"/>
    <w:rsid w:val="00F02749"/>
    <w:rsid w:val="00F03EB1"/>
    <w:rsid w:val="00F07509"/>
    <w:rsid w:val="00F1225A"/>
    <w:rsid w:val="00F13035"/>
    <w:rsid w:val="00F1625B"/>
    <w:rsid w:val="00F16FA3"/>
    <w:rsid w:val="00F20118"/>
    <w:rsid w:val="00F2145D"/>
    <w:rsid w:val="00F25408"/>
    <w:rsid w:val="00F26448"/>
    <w:rsid w:val="00F30179"/>
    <w:rsid w:val="00F3137C"/>
    <w:rsid w:val="00F3150D"/>
    <w:rsid w:val="00F31D9F"/>
    <w:rsid w:val="00F32469"/>
    <w:rsid w:val="00F332A1"/>
    <w:rsid w:val="00F33400"/>
    <w:rsid w:val="00F344A7"/>
    <w:rsid w:val="00F353A1"/>
    <w:rsid w:val="00F353ED"/>
    <w:rsid w:val="00F364E9"/>
    <w:rsid w:val="00F36B1E"/>
    <w:rsid w:val="00F4159A"/>
    <w:rsid w:val="00F417D1"/>
    <w:rsid w:val="00F42157"/>
    <w:rsid w:val="00F42163"/>
    <w:rsid w:val="00F42453"/>
    <w:rsid w:val="00F43E2A"/>
    <w:rsid w:val="00F44499"/>
    <w:rsid w:val="00F468F5"/>
    <w:rsid w:val="00F46DF5"/>
    <w:rsid w:val="00F5272B"/>
    <w:rsid w:val="00F53275"/>
    <w:rsid w:val="00F5356E"/>
    <w:rsid w:val="00F53796"/>
    <w:rsid w:val="00F55052"/>
    <w:rsid w:val="00F57270"/>
    <w:rsid w:val="00F57962"/>
    <w:rsid w:val="00F604B1"/>
    <w:rsid w:val="00F60803"/>
    <w:rsid w:val="00F60976"/>
    <w:rsid w:val="00F644AE"/>
    <w:rsid w:val="00F649D6"/>
    <w:rsid w:val="00F65A32"/>
    <w:rsid w:val="00F66065"/>
    <w:rsid w:val="00F660BB"/>
    <w:rsid w:val="00F6768F"/>
    <w:rsid w:val="00F679BC"/>
    <w:rsid w:val="00F67A6D"/>
    <w:rsid w:val="00F718FA"/>
    <w:rsid w:val="00F72287"/>
    <w:rsid w:val="00F729E4"/>
    <w:rsid w:val="00F730BE"/>
    <w:rsid w:val="00F74866"/>
    <w:rsid w:val="00F74C1B"/>
    <w:rsid w:val="00F7694D"/>
    <w:rsid w:val="00F76D6D"/>
    <w:rsid w:val="00F77366"/>
    <w:rsid w:val="00F77B40"/>
    <w:rsid w:val="00F77D74"/>
    <w:rsid w:val="00F809FB"/>
    <w:rsid w:val="00F82B58"/>
    <w:rsid w:val="00F83155"/>
    <w:rsid w:val="00F85F9E"/>
    <w:rsid w:val="00F871CF"/>
    <w:rsid w:val="00F9112F"/>
    <w:rsid w:val="00F91264"/>
    <w:rsid w:val="00F9336B"/>
    <w:rsid w:val="00F93C2E"/>
    <w:rsid w:val="00F9478D"/>
    <w:rsid w:val="00F94956"/>
    <w:rsid w:val="00F94B72"/>
    <w:rsid w:val="00F94D66"/>
    <w:rsid w:val="00F96333"/>
    <w:rsid w:val="00F96BB1"/>
    <w:rsid w:val="00F96EC8"/>
    <w:rsid w:val="00F96FEF"/>
    <w:rsid w:val="00FA00DF"/>
    <w:rsid w:val="00FA1F40"/>
    <w:rsid w:val="00FA25A7"/>
    <w:rsid w:val="00FA331F"/>
    <w:rsid w:val="00FA3334"/>
    <w:rsid w:val="00FA4389"/>
    <w:rsid w:val="00FA47CF"/>
    <w:rsid w:val="00FA613D"/>
    <w:rsid w:val="00FA6A58"/>
    <w:rsid w:val="00FA7CCD"/>
    <w:rsid w:val="00FA7D00"/>
    <w:rsid w:val="00FA7DCD"/>
    <w:rsid w:val="00FB0322"/>
    <w:rsid w:val="00FB0985"/>
    <w:rsid w:val="00FB0AF9"/>
    <w:rsid w:val="00FB3087"/>
    <w:rsid w:val="00FB3284"/>
    <w:rsid w:val="00FB4050"/>
    <w:rsid w:val="00FB4525"/>
    <w:rsid w:val="00FB51E6"/>
    <w:rsid w:val="00FB544E"/>
    <w:rsid w:val="00FB5BE5"/>
    <w:rsid w:val="00FB6D49"/>
    <w:rsid w:val="00FC03E3"/>
    <w:rsid w:val="00FC1010"/>
    <w:rsid w:val="00FC1E41"/>
    <w:rsid w:val="00FC314D"/>
    <w:rsid w:val="00FC4420"/>
    <w:rsid w:val="00FC5217"/>
    <w:rsid w:val="00FC5A55"/>
    <w:rsid w:val="00FC6313"/>
    <w:rsid w:val="00FC76D4"/>
    <w:rsid w:val="00FC7A18"/>
    <w:rsid w:val="00FC7C3E"/>
    <w:rsid w:val="00FD1A51"/>
    <w:rsid w:val="00FD1BAF"/>
    <w:rsid w:val="00FD2265"/>
    <w:rsid w:val="00FD371E"/>
    <w:rsid w:val="00FD4756"/>
    <w:rsid w:val="00FD682F"/>
    <w:rsid w:val="00FD6B2C"/>
    <w:rsid w:val="00FD6D75"/>
    <w:rsid w:val="00FD748A"/>
    <w:rsid w:val="00FE0108"/>
    <w:rsid w:val="00FE0AF9"/>
    <w:rsid w:val="00FE0DCD"/>
    <w:rsid w:val="00FE1234"/>
    <w:rsid w:val="00FE20C4"/>
    <w:rsid w:val="00FE280C"/>
    <w:rsid w:val="00FE2D22"/>
    <w:rsid w:val="00FE4763"/>
    <w:rsid w:val="00FE5D0B"/>
    <w:rsid w:val="00FE72ED"/>
    <w:rsid w:val="00FF0B44"/>
    <w:rsid w:val="00FF349D"/>
    <w:rsid w:val="00FF3B34"/>
    <w:rsid w:val="00FF5148"/>
    <w:rsid w:val="00FF5B29"/>
    <w:rsid w:val="00FF600E"/>
    <w:rsid w:val="00FF63DE"/>
    <w:rsid w:val="00FF6ABF"/>
    <w:rsid w:val="00FF6F31"/>
    <w:rsid w:val="079C9BB2"/>
    <w:rsid w:val="0AFD8E97"/>
    <w:rsid w:val="0C44E255"/>
    <w:rsid w:val="0EFF8E18"/>
    <w:rsid w:val="0FFD5736"/>
    <w:rsid w:val="1084396A"/>
    <w:rsid w:val="11E4C1F5"/>
    <w:rsid w:val="122B53BF"/>
    <w:rsid w:val="122BE218"/>
    <w:rsid w:val="1898C3FD"/>
    <w:rsid w:val="1FA2CB0B"/>
    <w:rsid w:val="23B6CE36"/>
    <w:rsid w:val="2B8968CE"/>
    <w:rsid w:val="2F6784A3"/>
    <w:rsid w:val="3452D3F2"/>
    <w:rsid w:val="3828123B"/>
    <w:rsid w:val="3CCE5820"/>
    <w:rsid w:val="40D6DD88"/>
    <w:rsid w:val="4179B022"/>
    <w:rsid w:val="44843DC0"/>
    <w:rsid w:val="455E0BC8"/>
    <w:rsid w:val="460E6B63"/>
    <w:rsid w:val="468FF549"/>
    <w:rsid w:val="46D66127"/>
    <w:rsid w:val="478A2B67"/>
    <w:rsid w:val="4AE4F80D"/>
    <w:rsid w:val="4C58CA48"/>
    <w:rsid w:val="4C61F9D3"/>
    <w:rsid w:val="4E7E55B6"/>
    <w:rsid w:val="52AF3D7E"/>
    <w:rsid w:val="52D1F309"/>
    <w:rsid w:val="5386ED2F"/>
    <w:rsid w:val="563D2AD4"/>
    <w:rsid w:val="5921947E"/>
    <w:rsid w:val="59771DB6"/>
    <w:rsid w:val="5A8DC87D"/>
    <w:rsid w:val="5AC6BCFA"/>
    <w:rsid w:val="5BAE3375"/>
    <w:rsid w:val="5D37EFBB"/>
    <w:rsid w:val="5D90C9AA"/>
    <w:rsid w:val="60BBB029"/>
    <w:rsid w:val="60F3C698"/>
    <w:rsid w:val="695255BE"/>
    <w:rsid w:val="6A66FCF9"/>
    <w:rsid w:val="6C3B8561"/>
    <w:rsid w:val="6C9E9713"/>
    <w:rsid w:val="6D90AA7C"/>
    <w:rsid w:val="6E1046AB"/>
    <w:rsid w:val="6FE102C4"/>
    <w:rsid w:val="712E21A0"/>
    <w:rsid w:val="712FFA43"/>
    <w:rsid w:val="77AC8AF2"/>
    <w:rsid w:val="78B0822C"/>
    <w:rsid w:val="7AD2B020"/>
    <w:rsid w:val="7E420CA0"/>
    <w:rsid w:val="7F55A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6F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1"/>
        <w:szCs w:val="21"/>
        <w:lang w:val="en-GB"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qFormat/>
    <w:rsid w:val="00904C19"/>
    <w:pPr>
      <w:keepNext/>
      <w:spacing w:line="300" w:lineRule="atLeast"/>
      <w:outlineLvl w:val="0"/>
    </w:pPr>
    <w:rPr>
      <w:rFonts w:eastAsia="Times New Roman"/>
      <w:b/>
      <w:bCs/>
      <w:kern w:val="32"/>
      <w:sz w:val="32"/>
      <w:szCs w:val="32"/>
      <w:lang w:eastAsia="en-GB"/>
    </w:rPr>
  </w:style>
  <w:style w:type="paragraph" w:styleId="Heading3">
    <w:name w:val="heading 3"/>
    <w:basedOn w:val="Normal"/>
    <w:next w:val="Normal"/>
    <w:link w:val="Heading3Char"/>
    <w:autoRedefine/>
    <w:qFormat/>
    <w:rsid w:val="00453797"/>
    <w:pPr>
      <w:keepNext/>
      <w:spacing w:line="288" w:lineRule="atLeast"/>
      <w:outlineLvl w:val="2"/>
    </w:pPr>
    <w:rPr>
      <w:rFonts w:eastAsia="Times New Roman"/>
      <w:b/>
      <w:bCs/>
      <w:sz w:val="24"/>
      <w:szCs w:val="26"/>
      <w:lang w:eastAsia="en-GB"/>
    </w:rPr>
  </w:style>
  <w:style w:type="paragraph" w:styleId="Heading4">
    <w:name w:val="heading 4"/>
    <w:aliases w:val="Heading 4 Char1,Heading 4 Char1 Char,Heading 4 Char1 Char Char,Heading 4 Char1 Char Char Char,Heading 4 Char1 Char Char Char Char,Heading 4 Char1 Char Char Char Char Char,Heading 4 Char1 Char Char Char Char Char Char"/>
    <w:basedOn w:val="Normal"/>
    <w:next w:val="Normal"/>
    <w:link w:val="Heading4"/>
    <w:qFormat/>
    <w:rsid w:val="00904C19"/>
    <w:pPr>
      <w:keepNext/>
      <w:spacing w:line="288" w:lineRule="atLeast"/>
      <w:outlineLvl w:val="3"/>
    </w:pPr>
    <w:rPr>
      <w:rFonts w:eastAsia="Times New Roman" w:cs="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32"/>
    <w:pPr>
      <w:spacing w:line="300" w:lineRule="atLeast"/>
      <w:ind w:left="720"/>
    </w:pPr>
    <w:rPr>
      <w:rFonts w:eastAsia="Times New Roman" w:cs="Times New Roman"/>
      <w:b/>
      <w:lang w:eastAsia="en-GB"/>
    </w:rPr>
  </w:style>
  <w:style w:type="character" w:styleId="CommentReference">
    <w:name w:val="annotation reference"/>
    <w:basedOn w:val="DefaultParagraphFont"/>
    <w:unhideWhenUsed/>
    <w:rsid w:val="004C7D32"/>
    <w:rPr>
      <w:sz w:val="16"/>
      <w:szCs w:val="16"/>
    </w:rPr>
  </w:style>
  <w:style w:type="paragraph" w:styleId="CommentText">
    <w:name w:val="annotation text"/>
    <w:basedOn w:val="Normal"/>
    <w:link w:val="CommentTextChar"/>
    <w:unhideWhenUsed/>
    <w:rsid w:val="004C7D32"/>
    <w:pPr>
      <w:spacing w:line="240" w:lineRule="auto"/>
    </w:pPr>
    <w:rPr>
      <w:sz w:val="20"/>
      <w:szCs w:val="20"/>
    </w:rPr>
  </w:style>
  <w:style w:type="character" w:customStyle="1" w:styleId="CommentTextChar">
    <w:name w:val="Comment Text Char"/>
    <w:basedOn w:val="DefaultParagraphFont"/>
    <w:link w:val="CommentText"/>
    <w:rsid w:val="004C7D32"/>
    <w:rPr>
      <w:sz w:val="20"/>
      <w:szCs w:val="20"/>
    </w:rPr>
  </w:style>
  <w:style w:type="paragraph" w:styleId="CommentSubject">
    <w:name w:val="annotation subject"/>
    <w:basedOn w:val="CommentText"/>
    <w:next w:val="CommentText"/>
    <w:link w:val="CommentSubjectChar"/>
    <w:uiPriority w:val="99"/>
    <w:semiHidden/>
    <w:unhideWhenUsed/>
    <w:rsid w:val="004C7D32"/>
    <w:rPr>
      <w:b/>
      <w:bCs/>
    </w:rPr>
  </w:style>
  <w:style w:type="character" w:customStyle="1" w:styleId="CommentSubjectChar">
    <w:name w:val="Comment Subject Char"/>
    <w:basedOn w:val="CommentTextChar"/>
    <w:link w:val="CommentSubject"/>
    <w:uiPriority w:val="99"/>
    <w:semiHidden/>
    <w:rsid w:val="004C7D32"/>
    <w:rPr>
      <w:b/>
      <w:bCs/>
      <w:sz w:val="20"/>
      <w:szCs w:val="20"/>
    </w:rPr>
  </w:style>
  <w:style w:type="paragraph" w:styleId="BalloonText">
    <w:name w:val="Balloon Text"/>
    <w:basedOn w:val="Normal"/>
    <w:link w:val="BalloonTextChar"/>
    <w:uiPriority w:val="99"/>
    <w:semiHidden/>
    <w:unhideWhenUsed/>
    <w:rsid w:val="004C7D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2"/>
    <w:rPr>
      <w:rFonts w:ascii="Segoe UI" w:hAnsi="Segoe UI" w:cs="Segoe UI"/>
      <w:sz w:val="18"/>
      <w:szCs w:val="18"/>
    </w:rPr>
  </w:style>
  <w:style w:type="character" w:customStyle="1" w:styleId="Heading1Char">
    <w:name w:val="Heading 1 Char"/>
    <w:basedOn w:val="DefaultParagraphFont"/>
    <w:link w:val="Heading1"/>
    <w:rsid w:val="00904C19"/>
    <w:rPr>
      <w:rFonts w:eastAsia="Times New Roman"/>
      <w:b/>
      <w:bCs/>
      <w:kern w:val="32"/>
      <w:sz w:val="32"/>
      <w:szCs w:val="32"/>
      <w:lang w:eastAsia="en-GB"/>
    </w:rPr>
  </w:style>
  <w:style w:type="character" w:customStyle="1" w:styleId="Heading3Char">
    <w:name w:val="Heading 3 Char"/>
    <w:basedOn w:val="DefaultParagraphFont"/>
    <w:link w:val="Heading3"/>
    <w:rsid w:val="00453797"/>
    <w:rPr>
      <w:rFonts w:eastAsia="Times New Roman"/>
      <w:b/>
      <w:bCs/>
      <w:sz w:val="24"/>
      <w:szCs w:val="26"/>
      <w:lang w:eastAsia="en-GB"/>
    </w:rPr>
  </w:style>
  <w:style w:type="character" w:customStyle="1" w:styleId="Heading4Char">
    <w:name w:val="Heading 4 Char"/>
    <w:basedOn w:val="DefaultParagraphFont"/>
    <w:uiPriority w:val="9"/>
    <w:semiHidden/>
    <w:rsid w:val="00904C1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rsid w:val="00904C19"/>
    <w:rPr>
      <w:color w:val="0000FF"/>
      <w:u w:val="single"/>
    </w:rPr>
  </w:style>
  <w:style w:type="paragraph" w:styleId="Revision">
    <w:name w:val="Revision"/>
    <w:hidden/>
    <w:uiPriority w:val="99"/>
    <w:semiHidden/>
    <w:rsid w:val="001C0763"/>
    <w:pPr>
      <w:spacing w:line="240" w:lineRule="auto"/>
    </w:pPr>
  </w:style>
  <w:style w:type="paragraph" w:styleId="FootnoteText">
    <w:name w:val="footnote text"/>
    <w:basedOn w:val="Normal"/>
    <w:link w:val="FootnoteTextChar"/>
    <w:uiPriority w:val="99"/>
    <w:semiHidden/>
    <w:unhideWhenUsed/>
    <w:rsid w:val="005B5C19"/>
    <w:pPr>
      <w:spacing w:line="240" w:lineRule="auto"/>
    </w:pPr>
    <w:rPr>
      <w:sz w:val="20"/>
      <w:szCs w:val="20"/>
    </w:rPr>
  </w:style>
  <w:style w:type="character" w:customStyle="1" w:styleId="FootnoteTextChar">
    <w:name w:val="Footnote Text Char"/>
    <w:basedOn w:val="DefaultParagraphFont"/>
    <w:link w:val="FootnoteText"/>
    <w:uiPriority w:val="99"/>
    <w:semiHidden/>
    <w:rsid w:val="005B5C19"/>
    <w:rPr>
      <w:sz w:val="20"/>
      <w:szCs w:val="20"/>
    </w:rPr>
  </w:style>
  <w:style w:type="character" w:styleId="FootnoteReference">
    <w:name w:val="footnote reference"/>
    <w:basedOn w:val="DefaultParagraphFont"/>
    <w:uiPriority w:val="99"/>
    <w:semiHidden/>
    <w:unhideWhenUsed/>
    <w:rsid w:val="005B5C19"/>
    <w:rPr>
      <w:vertAlign w:val="superscript"/>
    </w:rPr>
  </w:style>
  <w:style w:type="paragraph" w:styleId="Header">
    <w:name w:val="header"/>
    <w:basedOn w:val="Normal"/>
    <w:link w:val="HeaderChar"/>
    <w:uiPriority w:val="99"/>
    <w:unhideWhenUsed/>
    <w:rsid w:val="0094101B"/>
    <w:pPr>
      <w:tabs>
        <w:tab w:val="center" w:pos="4513"/>
        <w:tab w:val="right" w:pos="9026"/>
      </w:tabs>
      <w:spacing w:line="240" w:lineRule="auto"/>
    </w:pPr>
  </w:style>
  <w:style w:type="character" w:customStyle="1" w:styleId="HeaderChar">
    <w:name w:val="Header Char"/>
    <w:basedOn w:val="DefaultParagraphFont"/>
    <w:link w:val="Header"/>
    <w:uiPriority w:val="99"/>
    <w:rsid w:val="0094101B"/>
  </w:style>
  <w:style w:type="paragraph" w:styleId="Footer">
    <w:name w:val="footer"/>
    <w:basedOn w:val="Normal"/>
    <w:link w:val="FooterChar"/>
    <w:uiPriority w:val="99"/>
    <w:unhideWhenUsed/>
    <w:rsid w:val="0094101B"/>
    <w:pPr>
      <w:tabs>
        <w:tab w:val="center" w:pos="4513"/>
        <w:tab w:val="right" w:pos="9026"/>
      </w:tabs>
      <w:spacing w:line="240" w:lineRule="auto"/>
    </w:pPr>
  </w:style>
  <w:style w:type="character" w:customStyle="1" w:styleId="FooterChar">
    <w:name w:val="Footer Char"/>
    <w:basedOn w:val="DefaultParagraphFont"/>
    <w:link w:val="Footer"/>
    <w:uiPriority w:val="99"/>
    <w:rsid w:val="0094101B"/>
  </w:style>
  <w:style w:type="character" w:customStyle="1" w:styleId="UnresolvedMention1">
    <w:name w:val="Unresolved Mention1"/>
    <w:basedOn w:val="DefaultParagraphFont"/>
    <w:uiPriority w:val="99"/>
    <w:semiHidden/>
    <w:unhideWhenUsed/>
    <w:rsid w:val="002625D6"/>
    <w:rPr>
      <w:color w:val="605E5C"/>
      <w:shd w:val="clear" w:color="auto" w:fill="E1DFDD"/>
    </w:rPr>
  </w:style>
  <w:style w:type="character" w:customStyle="1" w:styleId="UnresolvedMention2">
    <w:name w:val="Unresolved Mention2"/>
    <w:basedOn w:val="DefaultParagraphFont"/>
    <w:uiPriority w:val="99"/>
    <w:semiHidden/>
    <w:unhideWhenUsed/>
    <w:rsid w:val="001A404C"/>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page">
    <w:name w:val="Title page"/>
    <w:basedOn w:val="Heading1"/>
    <w:link w:val="TitlepageChar"/>
    <w:qFormat/>
    <w:rsid w:val="00B652DC"/>
    <w:pPr>
      <w:spacing w:after="320" w:line="320" w:lineRule="atLeast"/>
      <w:jc w:val="center"/>
    </w:pPr>
    <w:rPr>
      <w:color w:val="505160"/>
      <w:sz w:val="72"/>
      <w:szCs w:val="36"/>
    </w:rPr>
  </w:style>
  <w:style w:type="character" w:customStyle="1" w:styleId="TitlepageChar">
    <w:name w:val="Title page Char"/>
    <w:basedOn w:val="Heading1Char"/>
    <w:link w:val="Titlepage"/>
    <w:rsid w:val="00B652DC"/>
    <w:rPr>
      <w:rFonts w:eastAsia="Times New Roman"/>
      <w:b/>
      <w:bCs/>
      <w:color w:val="505160"/>
      <w:kern w:val="32"/>
      <w:sz w:val="72"/>
      <w:szCs w:val="36"/>
      <w:lang w:eastAsia="en-GB"/>
    </w:rPr>
  </w:style>
  <w:style w:type="paragraph" w:styleId="TOC1">
    <w:name w:val="toc 1"/>
    <w:basedOn w:val="Normal"/>
    <w:next w:val="Normal"/>
    <w:autoRedefine/>
    <w:uiPriority w:val="39"/>
    <w:rsid w:val="0039252F"/>
    <w:pPr>
      <w:tabs>
        <w:tab w:val="right" w:leader="dot" w:pos="9016"/>
      </w:tabs>
      <w:spacing w:before="120" w:after="120" w:line="240" w:lineRule="auto"/>
      <w:ind w:left="142" w:right="-624" w:hanging="142"/>
    </w:pPr>
    <w:rPr>
      <w:rFonts w:eastAsia="Times New Roman"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12202">
      <w:bodyDiv w:val="1"/>
      <w:marLeft w:val="0"/>
      <w:marRight w:val="0"/>
      <w:marTop w:val="0"/>
      <w:marBottom w:val="0"/>
      <w:divBdr>
        <w:top w:val="none" w:sz="0" w:space="0" w:color="auto"/>
        <w:left w:val="none" w:sz="0" w:space="0" w:color="auto"/>
        <w:bottom w:val="none" w:sz="0" w:space="0" w:color="auto"/>
        <w:right w:val="none" w:sz="0" w:space="0" w:color="auto"/>
      </w:divBdr>
    </w:div>
    <w:div w:id="860703722">
      <w:bodyDiv w:val="1"/>
      <w:marLeft w:val="0"/>
      <w:marRight w:val="0"/>
      <w:marTop w:val="0"/>
      <w:marBottom w:val="0"/>
      <w:divBdr>
        <w:top w:val="none" w:sz="0" w:space="0" w:color="auto"/>
        <w:left w:val="none" w:sz="0" w:space="0" w:color="auto"/>
        <w:bottom w:val="none" w:sz="0" w:space="0" w:color="auto"/>
        <w:right w:val="none" w:sz="0" w:space="0" w:color="auto"/>
      </w:divBdr>
    </w:div>
    <w:div w:id="1625891193">
      <w:bodyDiv w:val="1"/>
      <w:marLeft w:val="0"/>
      <w:marRight w:val="0"/>
      <w:marTop w:val="0"/>
      <w:marBottom w:val="0"/>
      <w:divBdr>
        <w:top w:val="none" w:sz="0" w:space="0" w:color="auto"/>
        <w:left w:val="none" w:sz="0" w:space="0" w:color="auto"/>
        <w:bottom w:val="none" w:sz="0" w:space="0" w:color="auto"/>
        <w:right w:val="none" w:sz="0" w:space="0" w:color="auto"/>
      </w:divBdr>
    </w:div>
    <w:div w:id="18256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nationalarchives.gov.uk/20180405125333/http:/www.hefce.ac.uk/media/hefce/content/What,we,do/Research/OA/Open%20access%20in%20the%20next%20REF%20information%20and%20audit%20requirem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F8B4-55EF-4FC2-92B5-C75331388138}"/>
</file>

<file path=customXml/itemProps2.xml><?xml version="1.0" encoding="utf-8"?>
<ds:datastoreItem xmlns:ds="http://schemas.openxmlformats.org/officeDocument/2006/customXml" ds:itemID="{4AD36859-84E1-4550-9C3C-F058FC14A4E6}">
  <ds:schemaRefs>
    <ds:schemaRef ds:uri="http://schemas.microsoft.com/sharepoint/v3/contenttype/forms"/>
  </ds:schemaRefs>
</ds:datastoreItem>
</file>

<file path=customXml/itemProps3.xml><?xml version="1.0" encoding="utf-8"?>
<ds:datastoreItem xmlns:ds="http://schemas.openxmlformats.org/officeDocument/2006/customXml" ds:itemID="{D4C40837-EE50-4F4D-A94E-14EDD80129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E4A58B-8E1B-4B74-8B93-90A4CC41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9902</Words>
  <Characters>56445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2020-10-05T15:13:00Z</dcterms:created>
  <dcterms:modified xsi:type="dcterms:W3CDTF">2020-10-05T15:56:00Z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